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960120" cy="960120"/>
            <wp:docPr id="1" name="Picture 1" descr="Official gold Rihuum Intercontinental Limited emblem"/>
            <wp:cNvGraphicFramePr>
              <a:graphicFrameLocks noChangeAspect="1"/>
            </wp:cNvGraphicFramePr>
            <a:graphic>
              <a:graphicData uri="http://schemas.openxmlformats.org/drawingml/2006/picture">
                <pic:pic>
                  <pic:nvPicPr>
                    <pic:cNvPr id="0" name="image1.png"/>
                    <pic:cNvPicPr/>
                  </pic:nvPicPr>
                  <pic:blipFill>
                    <a:blip r:embed="rId11"/>
                    <a:stretch>
                      <a:fillRect/>
                    </a:stretch>
                  </pic:blipFill>
                  <pic:spPr>
                    <a:xfrm>
                      <a:off x="0" y="0"/>
                      <a:ext cx="960120" cy="960120"/>
                    </a:xfrm>
                    <a:prstGeom prst="rect"/>
                  </pic:spPr>
                </pic:pic>
              </a:graphicData>
            </a:graphic>
          </wp:inline>
        </w:drawing>
      </w:r>
    </w:p>
    <w:p>
      <w:pPr>
        <w:jc w:val="center"/>
      </w:pPr>
      <w:r>
        <w:rPr>
          <w:rFonts w:ascii="Arial" w:hAnsi="Arial"/>
          <w:b/>
          <w:color w:val="B88A22"/>
          <w:sz w:val="26"/>
        </w:rPr>
        <w:t>RIHUUM INTERCONTINENTAL LIMITED</w:t>
      </w:r>
    </w:p>
    <w:p>
      <w:pPr>
        <w:jc w:val="center"/>
      </w:pPr>
      <w:r>
        <w:rPr>
          <w:rFonts w:ascii="Arial" w:hAnsi="Arial"/>
          <w:b/>
          <w:color w:val="9D1C20"/>
          <w:sz w:val="18"/>
        </w:rPr>
        <w:t>EXECUTIVE-AUTHORISED CONTROLLED RELEASE</w:t>
      </w:r>
    </w:p>
    <w:p>
      <w:pPr>
        <w:pStyle w:val="Title"/>
        <w:jc w:val="center"/>
      </w:pPr>
      <w:r>
        <w:t>Rihuum Digital Ecosystem Master Architecture</w:t>
      </w:r>
    </w:p>
    <w:p>
      <w:pPr>
        <w:pStyle w:val="Subtitle"/>
        <w:jc w:val="center"/>
      </w:pPr>
      <w:r>
        <w:t>RME, RIA, Rihuum OS, Sentinel AI and RAHIS controlled operating model</w:t>
      </w:r>
    </w:p>
    <w:p>
      <w:pPr>
        <w:jc w:val="center"/>
      </w:pPr>
      <w:r>
        <w:rPr>
          <w:rFonts w:ascii="Arial" w:hAnsi="Arial"/>
          <w:b/>
          <w:color w:val="12233F"/>
          <w:sz w:val="20"/>
        </w:rPr>
        <w:t>Version 2.1 | 26 July 2026</w:t>
      </w:r>
    </w:p>
    <w:p>
      <w:pPr>
        <w:jc w:val="center"/>
      </w:pPr>
      <w:r>
        <w:rPr>
          <w:rFonts w:ascii="Arial" w:hAnsi="Arial"/>
          <w:color w:val="1F2937"/>
          <w:sz w:val="16"/>
        </w:rPr>
        <w:t>RC 1476119 | www.rihuum.com | www.rihuum.tech | www.rihuum.net</w:t>
      </w:r>
    </w:p>
    <w:p>
      <w:pPr>
        <w:jc w:val="center"/>
      </w:pPr>
      <w:r>
        <w:rPr>
          <w:rFonts w:ascii="Arial" w:hAnsi="Arial"/>
          <w:color w:val="1F2937"/>
          <w:sz w:val="16"/>
        </w:rPr>
        <w:t>Abuja, Nigeria | 09162102777 | 08082407830 | 07031321663</w:t>
        <w:br/>
        <w:t>info@rihuum.com | info@rihuum.tech | info@rihuum.net | rihuumconsult@gmail.com</w:t>
        <w:br/>
        <w:t>finance@rihuum.com | payment@rihuum.com | account@rihuum.com</w:t>
      </w:r>
    </w:p>
    <w:p>
      <w:pPr>
        <w:jc w:val="center"/>
      </w:pPr>
      <w:r>
        <w:rPr>
          <w:rFonts w:ascii="Arial" w:hAnsi="Arial"/>
          <w:b/>
          <w:color w:val="12233F"/>
          <w:sz w:val="17"/>
        </w:rPr>
        <w:br/>
        <w:t>CONTROLLED GOVERNANCE, ENGINEERING, COMMERCIALISATION AND RELEASE DOCUMENT</w:t>
      </w:r>
    </w:p>
    <w:p>
      <w:r>
        <w:br w:type="page"/>
      </w:r>
    </w:p>
    <w:p>
      <w:pPr>
        <w:pStyle w:val="Heading1"/>
      </w:pPr>
      <w:r>
        <w:t>Document Control</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2233F"/>
          </w:tcPr>
          <w:p>
            <w:r/>
            <w:r>
              <w:rPr>
                <w:rFonts w:ascii="Arial" w:hAnsi="Arial"/>
                <w:b/>
                <w:color w:val="FFFFFF"/>
                <w:sz w:val="17"/>
              </w:rPr>
              <w:t>Field</w:t>
            </w:r>
          </w:p>
        </w:tc>
        <w:tc>
          <w:tcPr>
            <w:tcW w:type="dxa" w:w="5083"/>
            <w:vAlign w:val="center"/>
            <w:shd w:fill="12233F"/>
          </w:tcPr>
          <w:p>
            <w:r/>
            <w:r>
              <w:rPr>
                <w:rFonts w:ascii="Arial" w:hAnsi="Arial"/>
                <w:b/>
                <w:color w:val="FFFFFF"/>
                <w:sz w:val="17"/>
              </w:rPr>
              <w:t>Controlled value</w:t>
            </w:r>
          </w:p>
        </w:tc>
      </w:tr>
      <w:tr>
        <w:trPr>
          <w:cantSplit/>
        </w:trPr>
        <w:tc>
          <w:tcPr>
            <w:tcW w:type="dxa" w:w="5083"/>
            <w:vAlign w:val="center"/>
            <w:shd w:fill="EAF0F7"/>
            <w:tcMar>
              <w:top w:w="80" w:type="dxa"/>
              <w:start w:w="80" w:type="dxa"/>
              <w:bottom w:w="80" w:type="dxa"/>
              <w:end w:w="80" w:type="dxa"/>
            </w:tcMar>
          </w:tcPr>
          <w:p>
            <w:r/>
            <w:r>
              <w:rPr>
                <w:rFonts w:ascii="Arial" w:hAnsi="Arial"/>
                <w:b/>
                <w:color w:val="12233F"/>
                <w:sz w:val="16"/>
              </w:rPr>
              <w:t>Status</w:t>
            </w:r>
          </w:p>
        </w:tc>
        <w:tc>
          <w:tcPr>
            <w:tcW w:type="dxa" w:w="5083"/>
            <w:vAlign w:val="center"/>
            <w:tcMar>
              <w:top w:w="80" w:type="dxa"/>
              <w:start w:w="80" w:type="dxa"/>
              <w:bottom w:w="80" w:type="dxa"/>
              <w:end w:w="80" w:type="dxa"/>
            </w:tcMar>
          </w:tcPr>
          <w:p>
            <w:r>
              <w:rPr>
                <w:rFonts w:ascii="Arial" w:hAnsi="Arial"/>
                <w:b w:val="0"/>
                <w:color w:val="1F2937"/>
                <w:sz w:val="16"/>
              </w:rPr>
              <w:t>Executive-authorised controlled release architecture. Formal Board ratification and live commissioning must be evidenced separately; no uncommissioned provider or product capability is represented as active.</w:t>
            </w:r>
          </w:p>
        </w:tc>
      </w:tr>
      <w:tr>
        <w:trPr>
          <w:cantSplit/>
        </w:trPr>
        <w:tc>
          <w:tcPr>
            <w:tcW w:type="dxa" w:w="5083"/>
            <w:vAlign w:val="center"/>
            <w:shd w:fill="EAF0F7"/>
            <w:tcMar>
              <w:top w:w="80" w:type="dxa"/>
              <w:start w:w="80" w:type="dxa"/>
              <w:bottom w:w="80" w:type="dxa"/>
              <w:end w:w="80" w:type="dxa"/>
            </w:tcMar>
          </w:tcPr>
          <w:p>
            <w:r>
              <w:rPr>
                <w:rFonts w:ascii="Arial" w:hAnsi="Arial"/>
                <w:b/>
                <w:color w:val="12233F"/>
                <w:sz w:val="16"/>
              </w:rPr>
              <w:t>Owner / legal identity</w:t>
            </w:r>
          </w:p>
        </w:tc>
        <w:tc>
          <w:tcPr>
            <w:tcW w:type="dxa" w:w="5083"/>
            <w:vAlign w:val="center"/>
            <w:tcMar>
              <w:top w:w="80" w:type="dxa"/>
              <w:start w:w="80" w:type="dxa"/>
              <w:bottom w:w="80" w:type="dxa"/>
              <w:end w:w="80" w:type="dxa"/>
            </w:tcMar>
          </w:tcPr>
          <w:p>
            <w:r>
              <w:rPr>
                <w:rFonts w:ascii="Arial" w:hAnsi="Arial"/>
                <w:b w:val="0"/>
                <w:color w:val="1F2937"/>
                <w:sz w:val="16"/>
              </w:rPr>
              <w:t>Rihuum Intercontinental Limited | RC 1476119 | registered locality: Abuja, Nigeria</w:t>
            </w:r>
          </w:p>
        </w:tc>
      </w:tr>
      <w:tr>
        <w:trPr>
          <w:cantSplit/>
        </w:trPr>
        <w:tc>
          <w:tcPr>
            <w:tcW w:type="dxa" w:w="5083"/>
            <w:vAlign w:val="center"/>
            <w:shd w:fill="EAF0F7"/>
            <w:tcMar>
              <w:top w:w="80" w:type="dxa"/>
              <w:start w:w="80" w:type="dxa"/>
              <w:bottom w:w="80" w:type="dxa"/>
              <w:end w:w="80" w:type="dxa"/>
            </w:tcMar>
          </w:tcPr>
          <w:p>
            <w:r/>
            <w:r>
              <w:rPr>
                <w:rFonts w:ascii="Arial" w:hAnsi="Arial"/>
                <w:b/>
                <w:color w:val="12233F"/>
                <w:sz w:val="16"/>
              </w:rPr>
              <w:t>Domains</w:t>
            </w:r>
          </w:p>
        </w:tc>
        <w:tc>
          <w:tcPr>
            <w:tcW w:type="dxa" w:w="5083"/>
            <w:vAlign w:val="center"/>
            <w:tcMar>
              <w:top w:w="80" w:type="dxa"/>
              <w:start w:w="80" w:type="dxa"/>
              <w:bottom w:w="80" w:type="dxa"/>
              <w:end w:w="80" w:type="dxa"/>
            </w:tcMar>
          </w:tcPr>
          <w:p>
            <w:r/>
            <w:r>
              <w:rPr>
                <w:rFonts w:ascii="Arial" w:hAnsi="Arial"/>
                <w:b w:val="0"/>
                <w:color w:val="1F2937"/>
                <w:sz w:val="16"/>
              </w:rPr>
              <w:t>rihuum.com | rihuum.tech | rihuum.net</w:t>
            </w:r>
          </w:p>
        </w:tc>
      </w:tr>
      <w:tr>
        <w:trPr>
          <w:cantSplit/>
        </w:trPr>
        <w:tc>
          <w:tcPr>
            <w:tcW w:type="dxa" w:w="5083"/>
            <w:vAlign w:val="center"/>
            <w:shd w:fill="EAF0F7"/>
            <w:tcMar>
              <w:top w:w="80" w:type="dxa"/>
              <w:start w:w="80" w:type="dxa"/>
              <w:bottom w:w="80" w:type="dxa"/>
              <w:end w:w="80" w:type="dxa"/>
            </w:tcMar>
          </w:tcPr>
          <w:p>
            <w:r/>
            <w:r>
              <w:rPr>
                <w:rFonts w:ascii="Arial" w:hAnsi="Arial"/>
                <w:b/>
                <w:color w:val="12233F"/>
                <w:sz w:val="16"/>
              </w:rPr>
              <w:t>Central cybersecurity platform</w:t>
            </w:r>
          </w:p>
        </w:tc>
        <w:tc>
          <w:tcPr>
            <w:tcW w:type="dxa" w:w="5083"/>
            <w:vAlign w:val="center"/>
            <w:tcMar>
              <w:top w:w="80" w:type="dxa"/>
              <w:start w:w="80" w:type="dxa"/>
              <w:bottom w:w="80" w:type="dxa"/>
              <w:end w:w="80" w:type="dxa"/>
            </w:tcMar>
          </w:tcPr>
          <w:p>
            <w:r/>
            <w:r>
              <w:rPr>
                <w:rFonts w:ascii="Arial" w:hAnsi="Arial"/>
                <w:b w:val="0"/>
                <w:color w:val="1F2937"/>
                <w:sz w:val="16"/>
              </w:rPr>
              <w:t>Rihuum Sentinel AI</w:t>
            </w:r>
          </w:p>
        </w:tc>
      </w:tr>
      <w:tr>
        <w:trPr>
          <w:cantSplit/>
        </w:trPr>
        <w:tc>
          <w:tcPr>
            <w:tcW w:type="dxa" w:w="5083"/>
            <w:vAlign w:val="center"/>
            <w:shd w:fill="EAF0F7"/>
            <w:tcMar>
              <w:top w:w="80" w:type="dxa"/>
              <w:start w:w="80" w:type="dxa"/>
              <w:bottom w:w="80" w:type="dxa"/>
              <w:end w:w="80" w:type="dxa"/>
            </w:tcMar>
          </w:tcPr>
          <w:p>
            <w:r/>
            <w:r>
              <w:rPr>
                <w:rFonts w:ascii="Arial" w:hAnsi="Arial"/>
                <w:b/>
                <w:color w:val="12233F"/>
                <w:sz w:val="16"/>
              </w:rPr>
              <w:t>Hospitality platform</w:t>
            </w:r>
          </w:p>
        </w:tc>
        <w:tc>
          <w:tcPr>
            <w:tcW w:type="dxa" w:w="5083"/>
            <w:vAlign w:val="center"/>
            <w:tcMar>
              <w:top w:w="80" w:type="dxa"/>
              <w:start w:w="80" w:type="dxa"/>
              <w:bottom w:w="80" w:type="dxa"/>
              <w:end w:w="80" w:type="dxa"/>
            </w:tcMar>
          </w:tcPr>
          <w:p>
            <w:r>
              <w:rPr>
                <w:rFonts w:ascii="Arial" w:hAnsi="Arial"/>
                <w:b w:val="0"/>
                <w:color w:val="1F2937"/>
                <w:sz w:val="16"/>
              </w:rPr>
              <w:t>RAHIS v8.3.0 controlled consolidated integration candidate</w:t>
            </w:r>
          </w:p>
        </w:tc>
      </w:tr>
      <w:tr>
        <w:trPr>
          <w:cantSplit/>
        </w:trPr>
        <w:tc>
          <w:tcPr>
            <w:tcW w:type="dxa" w:w="5083"/>
            <w:vAlign w:val="center"/>
            <w:shd w:fill="EAF0F7"/>
            <w:tcMar>
              <w:top w:w="80" w:type="dxa"/>
              <w:start w:w="80" w:type="dxa"/>
              <w:bottom w:w="80" w:type="dxa"/>
              <w:end w:w="80" w:type="dxa"/>
            </w:tcMar>
          </w:tcPr>
          <w:p>
            <w:r/>
            <w:r>
              <w:rPr>
                <w:rFonts w:ascii="Arial" w:hAnsi="Arial"/>
                <w:b/>
                <w:color w:val="12233F"/>
                <w:sz w:val="16"/>
              </w:rPr>
              <w:t>Change summary</w:t>
            </w:r>
          </w:p>
        </w:tc>
        <w:tc>
          <w:tcPr>
            <w:tcW w:type="dxa" w:w="5083"/>
            <w:vAlign w:val="center"/>
            <w:tcMar>
              <w:top w:w="80" w:type="dxa"/>
              <w:start w:w="80" w:type="dxa"/>
              <w:bottom w:w="80" w:type="dxa"/>
              <w:end w:w="80" w:type="dxa"/>
            </w:tcMar>
          </w:tcPr>
          <w:p>
            <w:r>
              <w:rPr>
                <w:rFonts w:ascii="Arial" w:hAnsi="Arial"/>
                <w:b w:val="0"/>
                <w:color w:val="1F2937"/>
                <w:sz w:val="16"/>
              </w:rPr>
              <w:t>Consolidates the three-domain ecosystem, RME 0.3 Configuration Centre, actual Sites/D1 and Namecheap topology, Sentinel staging boundary, RAHIS component BOM and evidence-based activation governance.</w:t>
            </w:r>
          </w:p>
        </w:tc>
      </w:tr>
      <w:tr>
        <w:trPr>
          <w:cantSplit/>
        </w:trPr>
        <w:tc>
          <w:tcPr>
            <w:tcW w:type="dxa" w:w="5083"/>
            <w:vAlign w:val="center"/>
            <w:shd w:fill="EAF0F7"/>
            <w:tcMar>
              <w:top w:w="80" w:type="dxa"/>
              <w:start w:w="80" w:type="dxa"/>
              <w:bottom w:w="80" w:type="dxa"/>
              <w:end w:w="80" w:type="dxa"/>
            </w:tcMar>
          </w:tcPr>
          <w:p>
            <w:r/>
            <w:r>
              <w:rPr>
                <w:rFonts w:ascii="Arial" w:hAnsi="Arial"/>
                <w:b/>
                <w:color w:val="12233F"/>
                <w:sz w:val="16"/>
              </w:rPr>
              <w:t>Attribution</w:t>
            </w:r>
          </w:p>
        </w:tc>
        <w:tc>
          <w:tcPr>
            <w:tcW w:type="dxa" w:w="5083"/>
            <w:vAlign w:val="center"/>
            <w:tcMar>
              <w:top w:w="80" w:type="dxa"/>
              <w:start w:w="80" w:type="dxa"/>
              <w:bottom w:w="80" w:type="dxa"/>
              <w:end w:w="80" w:type="dxa"/>
            </w:tcMar>
          </w:tcPr>
          <w:p>
            <w:r/>
            <w:r>
              <w:rPr>
                <w:rFonts w:ascii="Arial" w:hAnsi="Arial"/>
                <w:b w:val="0"/>
                <w:color w:val="1F2937"/>
                <w:sz w:val="16"/>
              </w:rPr>
              <w:t>Built and Developed by Rihuum Intercontinental Limited - www.rihuum.tech</w:t>
            </w:r>
          </w:p>
        </w:tc>
      </w:tr>
    </w:tbl>
    <w:p/>
    <w:p>
      <w:pPr>
        <w:pStyle w:val="Heading1"/>
      </w:pPr>
      <w:r>
        <w:t>Executive Architecture Decision</w:t>
      </w:r>
    </w:p>
    <w:p>
      <w:pPr>
        <w:pStyle w:val="LeadCallout"/>
      </w:pPr>
      <w:r>
        <w:t>Rihuum will operate one digital ecosystem, not independent websites or disconnected applications. Corporate trust, product discovery, customer operations, Academy learning, cybersecurity, hospitality and managed infrastructure must share identity, product registry, licensing, analytics, support, governance and controlled integration contracts.</w:t>
      </w:r>
    </w:p>
    <w:p>
      <w:r>
        <w:t>The three public domains remain distinct journeys while RME provides the shared enterprise kernel and v0.3 Configuration Centre, RIA governs intelligence, Rihuum OS provides the unified product experience, Sentinel AI governs cybersecurity and RAHIS remains the hospitality system of record. RETP is a superseded historical alias and is not a current product name.</w:t>
      </w:r>
    </w:p>
    <w:p>
      <w:pPr>
        <w:pStyle w:val="Heading1"/>
      </w:pPr>
      <w:r>
        <w:t>1. Three-domain mandate</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1872"/>
            <w:vAlign w:val="center"/>
            <w:shd w:fill="12233F"/>
            <w:tcMar>
              <w:top w:w="80" w:type="dxa"/>
              <w:start w:w="80" w:type="dxa"/>
              <w:bottom w:w="80" w:type="dxa"/>
              <w:end w:w="80" w:type="dxa"/>
            </w:tcMar>
          </w:tcPr>
          <w:p>
            <w:r/>
            <w:r>
              <w:rPr>
                <w:rFonts w:ascii="Arial" w:hAnsi="Arial"/>
                <w:b/>
                <w:color w:val="FFFFFF"/>
                <w:sz w:val="16"/>
              </w:rPr>
              <w:t>Domain</w:t>
            </w:r>
          </w:p>
        </w:tc>
        <w:tc>
          <w:tcPr>
            <w:tcW w:type="dxa" w:w="3888"/>
            <w:vAlign w:val="center"/>
            <w:shd w:fill="12233F"/>
            <w:tcMar>
              <w:top w:w="80" w:type="dxa"/>
              <w:start w:w="80" w:type="dxa"/>
              <w:bottom w:w="80" w:type="dxa"/>
              <w:end w:w="80" w:type="dxa"/>
            </w:tcMar>
          </w:tcPr>
          <w:p>
            <w:r/>
            <w:r>
              <w:rPr>
                <w:rFonts w:ascii="Arial" w:hAnsi="Arial"/>
                <w:b/>
                <w:color w:val="FFFFFF"/>
                <w:sz w:val="16"/>
              </w:rPr>
              <w:t>Primary mandate</w:t>
            </w:r>
          </w:p>
        </w:tc>
        <w:tc>
          <w:tcPr>
            <w:tcW w:type="dxa" w:w="4031"/>
            <w:vAlign w:val="center"/>
            <w:shd w:fill="12233F"/>
            <w:tcMar>
              <w:top w:w="80" w:type="dxa"/>
              <w:start w:w="80" w:type="dxa"/>
              <w:bottom w:w="80" w:type="dxa"/>
              <w:end w:w="80" w:type="dxa"/>
            </w:tcMar>
          </w:tcPr>
          <w:p>
            <w:r/>
            <w:r>
              <w:rPr>
                <w:rFonts w:ascii="Arial" w:hAnsi="Arial"/>
                <w:b/>
                <w:color w:val="FFFFFF"/>
                <w:sz w:val="16"/>
              </w:rPr>
              <w:t>Sentinel/RAHIS integration</w:t>
            </w:r>
          </w:p>
        </w:tc>
      </w:tr>
      <w:tr>
        <w:trPr>
          <w:cantSplit/>
        </w:trPr>
        <w:tc>
          <w:tcPr>
            <w:tcW w:type="dxa" w:w="1872"/>
            <w:vAlign w:val="center"/>
            <w:tcMar>
              <w:top w:w="80" w:type="dxa"/>
              <w:start w:w="80" w:type="dxa"/>
              <w:bottom w:w="80" w:type="dxa"/>
              <w:end w:w="80" w:type="dxa"/>
            </w:tcMar>
          </w:tcPr>
          <w:p>
            <w:r/>
            <w:r>
              <w:rPr>
                <w:rFonts w:ascii="Arial" w:hAnsi="Arial"/>
                <w:b w:val="0"/>
                <w:color w:val="1F2937"/>
                <w:sz w:val="16"/>
              </w:rPr>
              <w:t>rihuum.com</w:t>
            </w:r>
          </w:p>
        </w:tc>
        <w:tc>
          <w:tcPr>
            <w:tcW w:type="dxa" w:w="3888"/>
            <w:vAlign w:val="center"/>
            <w:tcMar>
              <w:top w:w="80" w:type="dxa"/>
              <w:start w:w="80" w:type="dxa"/>
              <w:bottom w:w="80" w:type="dxa"/>
              <w:end w:w="80" w:type="dxa"/>
            </w:tcMar>
          </w:tcPr>
          <w:p>
            <w:r/>
            <w:r>
              <w:rPr>
                <w:rFonts w:ascii="Arial" w:hAnsi="Arial"/>
                <w:b w:val="0"/>
                <w:color w:val="1F2937"/>
                <w:sz w:val="16"/>
              </w:rPr>
              <w:t>Corporate headquarters, governance, partnerships, investor trust, careers, corporate news and general sales.</w:t>
            </w:r>
          </w:p>
        </w:tc>
        <w:tc>
          <w:tcPr>
            <w:tcW w:type="dxa" w:w="4031"/>
            <w:vAlign w:val="center"/>
            <w:tcMar>
              <w:top w:w="80" w:type="dxa"/>
              <w:start w:w="80" w:type="dxa"/>
              <w:bottom w:w="80" w:type="dxa"/>
              <w:end w:w="80" w:type="dxa"/>
            </w:tcMar>
          </w:tcPr>
          <w:p>
            <w:r/>
            <w:r>
              <w:rPr>
                <w:rFonts w:ascii="Arial" w:hAnsi="Arial"/>
                <w:b w:val="0"/>
                <w:color w:val="1F2937"/>
                <w:sz w:val="16"/>
              </w:rPr>
              <w:t>Explain corporate security governance and direct qualified buyers to product workspaces.</w:t>
            </w:r>
          </w:p>
        </w:tc>
      </w:tr>
      <w:tr>
        <w:trPr>
          <w:cantSplit/>
        </w:trPr>
        <w:tc>
          <w:tcPr>
            <w:tcW w:type="dxa" w:w="1872"/>
            <w:vAlign w:val="center"/>
            <w:tcMar>
              <w:top w:w="80" w:type="dxa"/>
              <w:start w:w="80" w:type="dxa"/>
              <w:bottom w:w="80" w:type="dxa"/>
              <w:end w:w="80" w:type="dxa"/>
            </w:tcMar>
            <w:shd w:fill="F2F4F7"/>
          </w:tcPr>
          <w:p>
            <w:r/>
            <w:r>
              <w:rPr>
                <w:rFonts w:ascii="Arial" w:hAnsi="Arial"/>
                <w:b w:val="0"/>
                <w:color w:val="1F2937"/>
                <w:sz w:val="16"/>
              </w:rPr>
              <w:t>rihuum.tech</w:t>
            </w:r>
          </w:p>
        </w:tc>
        <w:tc>
          <w:tcPr>
            <w:tcW w:type="dxa" w:w="3888"/>
            <w:vAlign w:val="center"/>
            <w:tcMar>
              <w:top w:w="80" w:type="dxa"/>
              <w:start w:w="80" w:type="dxa"/>
              <w:bottom w:w="80" w:type="dxa"/>
              <w:end w:w="80" w:type="dxa"/>
            </w:tcMar>
            <w:shd w:fill="F2F4F7"/>
          </w:tcPr>
          <w:p>
            <w:r/>
            <w:r>
              <w:rPr>
                <w:rFonts w:ascii="Arial" w:hAnsi="Arial"/>
                <w:b w:val="0"/>
                <w:color w:val="1F2937"/>
                <w:sz w:val="16"/>
              </w:rPr>
              <w:t>Technology products, AI, cybersecurity, software, Academy, demonstrations, documentation and solution sales.</w:t>
            </w:r>
          </w:p>
        </w:tc>
        <w:tc>
          <w:tcPr>
            <w:tcW w:type="dxa" w:w="4031"/>
            <w:vAlign w:val="center"/>
            <w:tcMar>
              <w:top w:w="80" w:type="dxa"/>
              <w:start w:w="80" w:type="dxa"/>
              <w:bottom w:w="80" w:type="dxa"/>
              <w:end w:w="80" w:type="dxa"/>
            </w:tcMar>
            <w:shd w:fill="F2F4F7"/>
          </w:tcPr>
          <w:p>
            <w:r/>
            <w:r>
              <w:rPr>
                <w:rFonts w:ascii="Arial" w:hAnsi="Arial"/>
                <w:b w:val="0"/>
                <w:color w:val="1F2937"/>
                <w:sz w:val="16"/>
              </w:rPr>
              <w:t>Primary Sentinel AI catalogue, authorised onboarding, Academy cyber range and RAHIS product pages.</w:t>
            </w:r>
          </w:p>
        </w:tc>
      </w:tr>
      <w:tr>
        <w:trPr>
          <w:cantSplit/>
        </w:trPr>
        <w:tc>
          <w:tcPr>
            <w:tcW w:type="dxa" w:w="1872"/>
            <w:vAlign w:val="center"/>
            <w:tcMar>
              <w:top w:w="80" w:type="dxa"/>
              <w:start w:w="80" w:type="dxa"/>
              <w:bottom w:w="80" w:type="dxa"/>
              <w:end w:w="80" w:type="dxa"/>
            </w:tcMar>
          </w:tcPr>
          <w:p>
            <w:r/>
            <w:r>
              <w:rPr>
                <w:rFonts w:ascii="Arial" w:hAnsi="Arial"/>
                <w:b w:val="0"/>
                <w:color w:val="1F2937"/>
                <w:sz w:val="16"/>
              </w:rPr>
              <w:t>rihuum.net</w:t>
            </w:r>
          </w:p>
        </w:tc>
        <w:tc>
          <w:tcPr>
            <w:tcW w:type="dxa" w:w="3888"/>
            <w:vAlign w:val="center"/>
            <w:tcMar>
              <w:top w:w="80" w:type="dxa"/>
              <w:start w:w="80" w:type="dxa"/>
              <w:bottom w:w="80" w:type="dxa"/>
              <w:end w:w="80" w:type="dxa"/>
            </w:tcMar>
          </w:tcPr>
          <w:p>
            <w:r/>
            <w:r>
              <w:rPr>
                <w:rFonts w:ascii="Arial" w:hAnsi="Arial"/>
                <w:b w:val="0"/>
                <w:color w:val="1F2937"/>
                <w:sz w:val="16"/>
              </w:rPr>
              <w:t>Infrastructure, network, managed operations, support, service status and continuity.</w:t>
            </w:r>
          </w:p>
        </w:tc>
        <w:tc>
          <w:tcPr>
            <w:tcW w:type="dxa" w:w="4031"/>
            <w:vAlign w:val="center"/>
            <w:tcMar>
              <w:top w:w="80" w:type="dxa"/>
              <w:start w:w="80" w:type="dxa"/>
              <w:bottom w:w="80" w:type="dxa"/>
              <w:end w:w="80" w:type="dxa"/>
            </w:tcMar>
          </w:tcPr>
          <w:p>
            <w:r/>
            <w:r>
              <w:rPr>
                <w:rFonts w:ascii="Arial" w:hAnsi="Arial"/>
                <w:b w:val="0"/>
                <w:color w:val="1F2937"/>
                <w:sz w:val="16"/>
              </w:rPr>
              <w:t>Security status, collector/edge operations, MDR service centre and infrastructure assurance.</w:t>
            </w:r>
          </w:p>
        </w:tc>
      </w:tr>
    </w:tbl>
    <w:p>
      <w:pPr>
        <w:pStyle w:val="Heading1"/>
      </w:pPr>
      <w:r>
        <w:t>2. Shared platform hierarchy</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1728"/>
            <w:vAlign w:val="center"/>
            <w:shd w:fill="12233F"/>
            <w:tcMar>
              <w:top w:w="80" w:type="dxa"/>
              <w:start w:w="80" w:type="dxa"/>
              <w:bottom w:w="80" w:type="dxa"/>
              <w:end w:w="80" w:type="dxa"/>
            </w:tcMar>
          </w:tcPr>
          <w:p>
            <w:r/>
            <w:r>
              <w:rPr>
                <w:rFonts w:ascii="Arial" w:hAnsi="Arial"/>
                <w:b/>
                <w:color w:val="FFFFFF"/>
                <w:sz w:val="15"/>
              </w:rPr>
              <w:t>Layer</w:t>
            </w:r>
          </w:p>
        </w:tc>
        <w:tc>
          <w:tcPr>
            <w:tcW w:type="dxa" w:w="4320"/>
            <w:vAlign w:val="center"/>
            <w:shd w:fill="12233F"/>
            <w:tcMar>
              <w:top w:w="80" w:type="dxa"/>
              <w:start w:w="80" w:type="dxa"/>
              <w:bottom w:w="80" w:type="dxa"/>
              <w:end w:w="80" w:type="dxa"/>
            </w:tcMar>
          </w:tcPr>
          <w:p>
            <w:r/>
            <w:r>
              <w:rPr>
                <w:rFonts w:ascii="Arial" w:hAnsi="Arial"/>
                <w:b/>
                <w:color w:val="FFFFFF"/>
                <w:sz w:val="15"/>
              </w:rPr>
              <w:t>Responsibility</w:t>
            </w:r>
          </w:p>
        </w:tc>
        <w:tc>
          <w:tcPr>
            <w:tcW w:type="dxa" w:w="3744"/>
            <w:vAlign w:val="center"/>
            <w:shd w:fill="12233F"/>
            <w:tcMar>
              <w:top w:w="80" w:type="dxa"/>
              <w:start w:w="80" w:type="dxa"/>
              <w:bottom w:w="80" w:type="dxa"/>
              <w:end w:w="80" w:type="dxa"/>
            </w:tcMar>
          </w:tcPr>
          <w:p>
            <w:r/>
            <w:r>
              <w:rPr>
                <w:rFonts w:ascii="Arial" w:hAnsi="Arial"/>
                <w:b/>
                <w:color w:val="FFFFFF"/>
                <w:sz w:val="15"/>
              </w:rPr>
              <w:t>Non-negotiable rule</w:t>
            </w:r>
          </w:p>
        </w:tc>
      </w:tr>
      <w:tr>
        <w:trPr>
          <w:cantSplit/>
        </w:trPr>
        <w:tc>
          <w:tcPr>
            <w:tcW w:type="dxa" w:w="1728"/>
            <w:vAlign w:val="center"/>
            <w:tcMar>
              <w:top w:w="80" w:type="dxa"/>
              <w:start w:w="80" w:type="dxa"/>
              <w:bottom w:w="80" w:type="dxa"/>
              <w:end w:w="80" w:type="dxa"/>
            </w:tcMar>
          </w:tcPr>
          <w:p>
            <w:r>
              <w:rPr>
                <w:rFonts w:ascii="Arial" w:hAnsi="Arial"/>
                <w:b w:val="0"/>
                <w:color w:val="1F2937"/>
                <w:sz w:val="15"/>
              </w:rPr>
              <w:t>RME</w:t>
            </w:r>
          </w:p>
        </w:tc>
        <w:tc>
          <w:tcPr>
            <w:tcW w:type="dxa" w:w="4320"/>
            <w:vAlign w:val="center"/>
            <w:tcMar>
              <w:top w:w="80" w:type="dxa"/>
              <w:start w:w="80" w:type="dxa"/>
              <w:bottom w:w="80" w:type="dxa"/>
              <w:end w:w="80" w:type="dxa"/>
            </w:tcMar>
          </w:tcPr>
          <w:p>
            <w:r>
              <w:rPr>
                <w:rFonts w:ascii="Arial" w:hAnsi="Arial"/>
                <w:b w:val="0"/>
                <w:color w:val="1F2937"/>
                <w:sz w:val="15"/>
              </w:rPr>
              <w:t>Organisations, identity, MFA, permissions, products, plans, subscriptions, licences, audit, RME 0.3 configuration, notifications, updates, backups and support.</w:t>
            </w:r>
          </w:p>
        </w:tc>
        <w:tc>
          <w:tcPr>
            <w:tcW w:type="dxa" w:w="3744"/>
            <w:vAlign w:val="center"/>
            <w:tcMar>
              <w:top w:w="80" w:type="dxa"/>
              <w:start w:w="80" w:type="dxa"/>
              <w:bottom w:w="80" w:type="dxa"/>
              <w:end w:w="80" w:type="dxa"/>
            </w:tcMar>
          </w:tcPr>
          <w:p>
            <w:r>
              <w:rPr>
                <w:rFonts w:ascii="Arial" w:hAnsi="Arial"/>
                <w:b w:val="0"/>
                <w:color w:val="1F2937"/>
                <w:sz w:val="15"/>
              </w:rPr>
              <w:t>No product reimplements shared controls or stores provider configuration outside the governed schema without an approved architecture decision.</w:t>
            </w:r>
          </w:p>
        </w:tc>
      </w:tr>
      <w:tr>
        <w:trPr>
          <w:cantSplit/>
        </w:trPr>
        <w:tc>
          <w:tcPr>
            <w:tcW w:type="dxa" w:w="1728"/>
            <w:vAlign w:val="center"/>
            <w:tcMar>
              <w:top w:w="80" w:type="dxa"/>
              <w:start w:w="80" w:type="dxa"/>
              <w:bottom w:w="80" w:type="dxa"/>
              <w:end w:w="80" w:type="dxa"/>
            </w:tcMar>
            <w:shd w:fill="F2F4F7"/>
          </w:tcPr>
          <w:p>
            <w:r/>
            <w:r>
              <w:rPr>
                <w:rFonts w:ascii="Arial" w:hAnsi="Arial"/>
                <w:b w:val="0"/>
                <w:color w:val="1F2937"/>
                <w:sz w:val="15"/>
              </w:rPr>
              <w:t>RIA</w:t>
            </w:r>
          </w:p>
        </w:tc>
        <w:tc>
          <w:tcPr>
            <w:tcW w:type="dxa" w:w="4320"/>
            <w:vAlign w:val="center"/>
            <w:tcMar>
              <w:top w:w="80" w:type="dxa"/>
              <w:start w:w="80" w:type="dxa"/>
              <w:bottom w:w="80" w:type="dxa"/>
              <w:end w:w="80" w:type="dxa"/>
            </w:tcMar>
            <w:shd w:fill="F2F4F7"/>
          </w:tcPr>
          <w:p>
            <w:r/>
            <w:r>
              <w:rPr>
                <w:rFonts w:ascii="Arial" w:hAnsi="Arial"/>
                <w:b w:val="0"/>
                <w:color w:val="1F2937"/>
                <w:sz w:val="15"/>
              </w:rPr>
              <w:t>Models, agents, knowledge, tools, memory, evaluation, provenance, budgets, approvals and kill switches.</w:t>
            </w:r>
          </w:p>
        </w:tc>
        <w:tc>
          <w:tcPr>
            <w:tcW w:type="dxa" w:w="3744"/>
            <w:vAlign w:val="center"/>
            <w:tcMar>
              <w:top w:w="80" w:type="dxa"/>
              <w:start w:w="80" w:type="dxa"/>
              <w:bottom w:w="80" w:type="dxa"/>
              <w:end w:w="80" w:type="dxa"/>
            </w:tcMar>
            <w:shd w:fill="F2F4F7"/>
          </w:tcPr>
          <w:p>
            <w:r/>
            <w:r>
              <w:rPr>
                <w:rFonts w:ascii="Arial" w:hAnsi="Arial"/>
                <w:b w:val="0"/>
                <w:color w:val="1F2937"/>
                <w:sz w:val="15"/>
              </w:rPr>
              <w:t>AI never receives authority merely because a model can generate an answer.</w:t>
            </w:r>
          </w:p>
        </w:tc>
      </w:tr>
      <w:tr>
        <w:trPr>
          <w:cantSplit/>
        </w:trPr>
        <w:tc>
          <w:tcPr>
            <w:tcW w:type="dxa" w:w="1728"/>
            <w:vAlign w:val="center"/>
            <w:tcMar>
              <w:top w:w="80" w:type="dxa"/>
              <w:start w:w="80" w:type="dxa"/>
              <w:bottom w:w="80" w:type="dxa"/>
              <w:end w:w="80" w:type="dxa"/>
            </w:tcMar>
          </w:tcPr>
          <w:p>
            <w:r/>
            <w:r>
              <w:rPr>
                <w:rFonts w:ascii="Arial" w:hAnsi="Arial"/>
                <w:b w:val="0"/>
                <w:color w:val="1F2937"/>
                <w:sz w:val="15"/>
              </w:rPr>
              <w:t>Rihuum OS</w:t>
            </w:r>
          </w:p>
        </w:tc>
        <w:tc>
          <w:tcPr>
            <w:tcW w:type="dxa" w:w="4320"/>
            <w:vAlign w:val="center"/>
            <w:tcMar>
              <w:top w:w="80" w:type="dxa"/>
              <w:start w:w="80" w:type="dxa"/>
              <w:bottom w:w="80" w:type="dxa"/>
              <w:end w:w="80" w:type="dxa"/>
            </w:tcMar>
          </w:tcPr>
          <w:p>
            <w:r/>
            <w:r>
              <w:rPr>
                <w:rFonts w:ascii="Arial" w:hAnsi="Arial"/>
                <w:b w:val="0"/>
                <w:color w:val="1F2937"/>
                <w:sz w:val="15"/>
              </w:rPr>
              <w:t>Unified navigation and product experience across business and industry suites.</w:t>
            </w:r>
          </w:p>
        </w:tc>
        <w:tc>
          <w:tcPr>
            <w:tcW w:type="dxa" w:w="3744"/>
            <w:vAlign w:val="center"/>
            <w:tcMar>
              <w:top w:w="80" w:type="dxa"/>
              <w:start w:w="80" w:type="dxa"/>
              <w:bottom w:w="80" w:type="dxa"/>
              <w:end w:w="80" w:type="dxa"/>
            </w:tcMar>
          </w:tcPr>
          <w:p>
            <w:r/>
            <w:r>
              <w:rPr>
                <w:rFonts w:ascii="Arial" w:hAnsi="Arial"/>
                <w:b w:val="0"/>
                <w:color w:val="1F2937"/>
                <w:sz w:val="15"/>
              </w:rPr>
              <w:t>Client editions are configuration and entitlement, not uncontrolled source forks.</w:t>
            </w:r>
          </w:p>
        </w:tc>
      </w:tr>
      <w:tr>
        <w:trPr>
          <w:cantSplit/>
        </w:trPr>
        <w:tc>
          <w:tcPr>
            <w:tcW w:type="dxa" w:w="1728"/>
            <w:vAlign w:val="center"/>
            <w:tcMar>
              <w:top w:w="80" w:type="dxa"/>
              <w:start w:w="80" w:type="dxa"/>
              <w:bottom w:w="80" w:type="dxa"/>
              <w:end w:w="80" w:type="dxa"/>
            </w:tcMar>
            <w:shd w:fill="F2F4F7"/>
          </w:tcPr>
          <w:p>
            <w:r/>
            <w:r>
              <w:rPr>
                <w:rFonts w:ascii="Arial" w:hAnsi="Arial"/>
                <w:b w:val="0"/>
                <w:color w:val="1F2937"/>
                <w:sz w:val="15"/>
              </w:rPr>
              <w:t>Sentinel AI</w:t>
            </w:r>
          </w:p>
        </w:tc>
        <w:tc>
          <w:tcPr>
            <w:tcW w:type="dxa" w:w="4320"/>
            <w:vAlign w:val="center"/>
            <w:tcMar>
              <w:top w:w="80" w:type="dxa"/>
              <w:start w:w="80" w:type="dxa"/>
              <w:bottom w:w="80" w:type="dxa"/>
              <w:end w:w="80" w:type="dxa"/>
            </w:tcMar>
            <w:shd w:fill="F2F4F7"/>
          </w:tcPr>
          <w:p>
            <w:r/>
            <w:r>
              <w:rPr>
                <w:rFonts w:ascii="Arial" w:hAnsi="Arial"/>
                <w:b w:val="0"/>
                <w:color w:val="1F2937"/>
                <w:sz w:val="15"/>
              </w:rPr>
              <w:t>Security authorisation, posture, detection, evidence, response and 40 licensable defensive modules.</w:t>
            </w:r>
          </w:p>
        </w:tc>
        <w:tc>
          <w:tcPr>
            <w:tcW w:type="dxa" w:w="3744"/>
            <w:vAlign w:val="center"/>
            <w:tcMar>
              <w:top w:w="80" w:type="dxa"/>
              <w:start w:w="80" w:type="dxa"/>
              <w:bottom w:w="80" w:type="dxa"/>
              <w:end w:w="80" w:type="dxa"/>
            </w:tcMar>
            <w:shd w:fill="F2F4F7"/>
          </w:tcPr>
          <w:p>
            <w:r/>
            <w:r>
              <w:rPr>
                <w:rFonts w:ascii="Arial" w:hAnsi="Arial"/>
                <w:b w:val="0"/>
                <w:color w:val="1F2937"/>
                <w:sz w:val="15"/>
              </w:rPr>
              <w:t>Scope Guardian and emergency stop precede every operation.</w:t>
            </w:r>
          </w:p>
        </w:tc>
      </w:tr>
      <w:tr>
        <w:trPr>
          <w:cantSplit/>
        </w:trPr>
        <w:tc>
          <w:tcPr>
            <w:tcW w:type="dxa" w:w="1728"/>
            <w:vAlign w:val="center"/>
            <w:tcMar>
              <w:top w:w="80" w:type="dxa"/>
              <w:start w:w="80" w:type="dxa"/>
              <w:bottom w:w="80" w:type="dxa"/>
              <w:end w:w="80" w:type="dxa"/>
            </w:tcMar>
          </w:tcPr>
          <w:p>
            <w:r/>
            <w:r>
              <w:rPr>
                <w:rFonts w:ascii="Arial" w:hAnsi="Arial"/>
                <w:b w:val="0"/>
                <w:color w:val="1F2937"/>
                <w:sz w:val="15"/>
              </w:rPr>
              <w:t>RAHIS</w:t>
            </w:r>
          </w:p>
        </w:tc>
        <w:tc>
          <w:tcPr>
            <w:tcW w:type="dxa" w:w="4320"/>
            <w:vAlign w:val="center"/>
            <w:tcMar>
              <w:top w:w="80" w:type="dxa"/>
              <w:start w:w="80" w:type="dxa"/>
              <w:bottom w:w="80" w:type="dxa"/>
              <w:end w:w="80" w:type="dxa"/>
            </w:tcMar>
          </w:tcPr>
          <w:p>
            <w:r/>
            <w:r>
              <w:rPr>
                <w:rFonts w:ascii="Arial" w:hAnsi="Arial"/>
                <w:b w:val="0"/>
                <w:color w:val="1F2937"/>
                <w:sz w:val="15"/>
              </w:rPr>
              <w:t>Hotel operating platform and hospitality product family.</w:t>
            </w:r>
          </w:p>
        </w:tc>
        <w:tc>
          <w:tcPr>
            <w:tcW w:type="dxa" w:w="3744"/>
            <w:vAlign w:val="center"/>
            <w:tcMar>
              <w:top w:w="80" w:type="dxa"/>
              <w:start w:w="80" w:type="dxa"/>
              <w:bottom w:w="80" w:type="dxa"/>
              <w:end w:w="80" w:type="dxa"/>
            </w:tcMar>
          </w:tcPr>
          <w:p>
            <w:r/>
            <w:r>
              <w:rPr>
                <w:rFonts w:ascii="Arial" w:hAnsi="Arial"/>
                <w:b w:val="0"/>
                <w:color w:val="1F2937"/>
                <w:sz w:val="15"/>
              </w:rPr>
              <w:t>Hotel facts and ledgers remain authoritative in RAHIS; security bridge is non-authoritative.</w:t>
            </w:r>
          </w:p>
        </w:tc>
      </w:tr>
    </w:tbl>
    <w:p>
      <w:pPr>
        <w:pStyle w:val="Heading1"/>
      </w:pPr>
      <w:r>
        <w:t>3. Customer and product journeys</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1655"/>
            <w:vAlign w:val="center"/>
            <w:shd w:fill="12233F"/>
            <w:tcMar>
              <w:top w:w="80" w:type="dxa"/>
              <w:start w:w="80" w:type="dxa"/>
              <w:bottom w:w="80" w:type="dxa"/>
              <w:end w:w="80" w:type="dxa"/>
            </w:tcMar>
          </w:tcPr>
          <w:p>
            <w:r/>
            <w:r>
              <w:rPr>
                <w:rFonts w:ascii="Arial" w:hAnsi="Arial"/>
                <w:b/>
                <w:color w:val="FFFFFF"/>
                <w:sz w:val="15"/>
              </w:rPr>
              <w:t>Journey stage</w:t>
            </w:r>
          </w:p>
        </w:tc>
        <w:tc>
          <w:tcPr>
            <w:tcW w:type="dxa" w:w="4320"/>
            <w:vAlign w:val="center"/>
            <w:shd w:fill="12233F"/>
            <w:tcMar>
              <w:top w:w="80" w:type="dxa"/>
              <w:start w:w="80" w:type="dxa"/>
              <w:bottom w:w="80" w:type="dxa"/>
              <w:end w:w="80" w:type="dxa"/>
            </w:tcMar>
          </w:tcPr>
          <w:p>
            <w:r/>
            <w:r>
              <w:rPr>
                <w:rFonts w:ascii="Arial" w:hAnsi="Arial"/>
                <w:b/>
                <w:color w:val="FFFFFF"/>
                <w:sz w:val="15"/>
              </w:rPr>
              <w:t>Digital experience</w:t>
            </w:r>
          </w:p>
        </w:tc>
        <w:tc>
          <w:tcPr>
            <w:tcW w:type="dxa" w:w="3816"/>
            <w:vAlign w:val="center"/>
            <w:shd w:fill="12233F"/>
            <w:tcMar>
              <w:top w:w="80" w:type="dxa"/>
              <w:start w:w="80" w:type="dxa"/>
              <w:bottom w:w="80" w:type="dxa"/>
              <w:end w:w="80" w:type="dxa"/>
            </w:tcMar>
          </w:tcPr>
          <w:p>
            <w:r/>
            <w:r>
              <w:rPr>
                <w:rFonts w:ascii="Arial" w:hAnsi="Arial"/>
                <w:b/>
                <w:color w:val="FFFFFF"/>
                <w:sz w:val="15"/>
              </w:rPr>
              <w:t>Shared system record</w:t>
            </w:r>
          </w:p>
        </w:tc>
      </w:tr>
      <w:tr>
        <w:trPr>
          <w:cantSplit/>
        </w:trPr>
        <w:tc>
          <w:tcPr>
            <w:tcW w:type="dxa" w:w="1655"/>
            <w:vAlign w:val="center"/>
            <w:tcMar>
              <w:top w:w="80" w:type="dxa"/>
              <w:start w:w="80" w:type="dxa"/>
              <w:bottom w:w="80" w:type="dxa"/>
              <w:end w:w="80" w:type="dxa"/>
            </w:tcMar>
          </w:tcPr>
          <w:p>
            <w:r/>
            <w:r>
              <w:rPr>
                <w:rFonts w:ascii="Arial" w:hAnsi="Arial"/>
                <w:b w:val="0"/>
                <w:color w:val="1F2937"/>
                <w:sz w:val="15"/>
              </w:rPr>
              <w:t>Discover</w:t>
            </w:r>
          </w:p>
        </w:tc>
        <w:tc>
          <w:tcPr>
            <w:tcW w:type="dxa" w:w="4320"/>
            <w:vAlign w:val="center"/>
            <w:tcMar>
              <w:top w:w="80" w:type="dxa"/>
              <w:start w:w="80" w:type="dxa"/>
              <w:bottom w:w="80" w:type="dxa"/>
              <w:end w:w="80" w:type="dxa"/>
            </w:tcMar>
          </w:tcPr>
          <w:p>
            <w:r/>
            <w:r>
              <w:rPr>
                <w:rFonts w:ascii="Arial" w:hAnsi="Arial"/>
                <w:b w:val="0"/>
                <w:color w:val="1F2937"/>
                <w:sz w:val="15"/>
              </w:rPr>
              <w:t>Search-led expert content, sector pages, demonstrations, webinars and Academy programmes.</w:t>
            </w:r>
          </w:p>
        </w:tc>
        <w:tc>
          <w:tcPr>
            <w:tcW w:type="dxa" w:w="3816"/>
            <w:vAlign w:val="center"/>
            <w:tcMar>
              <w:top w:w="80" w:type="dxa"/>
              <w:start w:w="80" w:type="dxa"/>
              <w:bottom w:w="80" w:type="dxa"/>
              <w:end w:w="80" w:type="dxa"/>
            </w:tcMar>
          </w:tcPr>
          <w:p>
            <w:r/>
            <w:r>
              <w:rPr>
                <w:rFonts w:ascii="Arial" w:hAnsi="Arial"/>
                <w:b w:val="0"/>
                <w:color w:val="1F2937"/>
                <w:sz w:val="15"/>
              </w:rPr>
              <w:t>Campaign, consent, source and content evidence.</w:t>
            </w:r>
          </w:p>
        </w:tc>
      </w:tr>
      <w:tr>
        <w:trPr>
          <w:cantSplit/>
        </w:trPr>
        <w:tc>
          <w:tcPr>
            <w:tcW w:type="dxa" w:w="1655"/>
            <w:vAlign w:val="center"/>
            <w:tcMar>
              <w:top w:w="80" w:type="dxa"/>
              <w:start w:w="80" w:type="dxa"/>
              <w:bottom w:w="80" w:type="dxa"/>
              <w:end w:w="80" w:type="dxa"/>
            </w:tcMar>
            <w:shd w:fill="F2F4F7"/>
          </w:tcPr>
          <w:p>
            <w:r/>
            <w:r>
              <w:rPr>
                <w:rFonts w:ascii="Arial" w:hAnsi="Arial"/>
                <w:b w:val="0"/>
                <w:color w:val="1F2937"/>
                <w:sz w:val="15"/>
              </w:rPr>
              <w:t>Evaluate</w:t>
            </w:r>
          </w:p>
        </w:tc>
        <w:tc>
          <w:tcPr>
            <w:tcW w:type="dxa" w:w="4320"/>
            <w:vAlign w:val="center"/>
            <w:tcMar>
              <w:top w:w="80" w:type="dxa"/>
              <w:start w:w="80" w:type="dxa"/>
              <w:bottom w:w="80" w:type="dxa"/>
              <w:end w:w="80" w:type="dxa"/>
            </w:tcMar>
            <w:shd w:fill="F2F4F7"/>
          </w:tcPr>
          <w:p>
            <w:r/>
            <w:r>
              <w:rPr>
                <w:rFonts w:ascii="Arial" w:hAnsi="Arial"/>
                <w:b w:val="0"/>
                <w:color w:val="1F2937"/>
                <w:sz w:val="15"/>
              </w:rPr>
              <w:t>Use cases, capability/maturity labels, architecture, security, business case and pilot scope.</w:t>
            </w:r>
          </w:p>
        </w:tc>
        <w:tc>
          <w:tcPr>
            <w:tcW w:type="dxa" w:w="3816"/>
            <w:vAlign w:val="center"/>
            <w:tcMar>
              <w:top w:w="80" w:type="dxa"/>
              <w:start w:w="80" w:type="dxa"/>
              <w:bottom w:w="80" w:type="dxa"/>
              <w:end w:w="80" w:type="dxa"/>
            </w:tcMar>
            <w:shd w:fill="F2F4F7"/>
          </w:tcPr>
          <w:p>
            <w:r/>
            <w:r>
              <w:rPr>
                <w:rFonts w:ascii="Arial" w:hAnsi="Arial"/>
                <w:b w:val="0"/>
                <w:color w:val="1F2937"/>
                <w:sz w:val="15"/>
              </w:rPr>
              <w:t>Opportunity, requirements, risk and approval records.</w:t>
            </w:r>
          </w:p>
        </w:tc>
      </w:tr>
      <w:tr>
        <w:trPr>
          <w:cantSplit/>
        </w:trPr>
        <w:tc>
          <w:tcPr>
            <w:tcW w:type="dxa" w:w="1655"/>
            <w:vAlign w:val="center"/>
            <w:tcMar>
              <w:top w:w="80" w:type="dxa"/>
              <w:start w:w="80" w:type="dxa"/>
              <w:bottom w:w="80" w:type="dxa"/>
              <w:end w:w="80" w:type="dxa"/>
            </w:tcMar>
          </w:tcPr>
          <w:p>
            <w:r/>
            <w:r>
              <w:rPr>
                <w:rFonts w:ascii="Arial" w:hAnsi="Arial"/>
                <w:b w:val="0"/>
                <w:color w:val="1F2937"/>
                <w:sz w:val="15"/>
              </w:rPr>
              <w:t>Buy</w:t>
            </w:r>
          </w:p>
        </w:tc>
        <w:tc>
          <w:tcPr>
            <w:tcW w:type="dxa" w:w="4320"/>
            <w:vAlign w:val="center"/>
            <w:tcMar>
              <w:top w:w="80" w:type="dxa"/>
              <w:start w:w="80" w:type="dxa"/>
              <w:bottom w:w="80" w:type="dxa"/>
              <w:end w:w="80" w:type="dxa"/>
            </w:tcMar>
          </w:tcPr>
          <w:p>
            <w:r/>
            <w:r>
              <w:rPr>
                <w:rFonts w:ascii="Arial" w:hAnsi="Arial"/>
                <w:b w:val="0"/>
                <w:color w:val="1F2937"/>
                <w:sz w:val="15"/>
              </w:rPr>
              <w:t>Proposal, contract, product edition, module entitlements, implementation and support level.</w:t>
            </w:r>
          </w:p>
        </w:tc>
        <w:tc>
          <w:tcPr>
            <w:tcW w:type="dxa" w:w="3816"/>
            <w:vAlign w:val="center"/>
            <w:tcMar>
              <w:top w:w="80" w:type="dxa"/>
              <w:start w:w="80" w:type="dxa"/>
              <w:bottom w:w="80" w:type="dxa"/>
              <w:end w:w="80" w:type="dxa"/>
            </w:tcMar>
          </w:tcPr>
          <w:p>
            <w:r/>
            <w:r>
              <w:rPr>
                <w:rFonts w:ascii="Arial" w:hAnsi="Arial"/>
                <w:b w:val="0"/>
                <w:color w:val="1F2937"/>
                <w:sz w:val="15"/>
              </w:rPr>
              <w:t>Customer, subscription, licence, billing reference and signed scope.</w:t>
            </w:r>
          </w:p>
        </w:tc>
      </w:tr>
      <w:tr>
        <w:trPr>
          <w:cantSplit/>
        </w:trPr>
        <w:tc>
          <w:tcPr>
            <w:tcW w:type="dxa" w:w="1655"/>
            <w:vAlign w:val="center"/>
            <w:tcMar>
              <w:top w:w="80" w:type="dxa"/>
              <w:start w:w="80" w:type="dxa"/>
              <w:bottom w:w="80" w:type="dxa"/>
              <w:end w:w="80" w:type="dxa"/>
            </w:tcMar>
            <w:shd w:fill="F2F4F7"/>
          </w:tcPr>
          <w:p>
            <w:r/>
            <w:r>
              <w:rPr>
                <w:rFonts w:ascii="Arial" w:hAnsi="Arial"/>
                <w:b w:val="0"/>
                <w:color w:val="1F2937"/>
                <w:sz w:val="15"/>
              </w:rPr>
              <w:t>Onboard</w:t>
            </w:r>
          </w:p>
        </w:tc>
        <w:tc>
          <w:tcPr>
            <w:tcW w:type="dxa" w:w="4320"/>
            <w:vAlign w:val="center"/>
            <w:tcMar>
              <w:top w:w="80" w:type="dxa"/>
              <w:start w:w="80" w:type="dxa"/>
              <w:bottom w:w="80" w:type="dxa"/>
              <w:end w:w="80" w:type="dxa"/>
            </w:tcMar>
            <w:shd w:fill="F2F4F7"/>
          </w:tcPr>
          <w:p>
            <w:r/>
            <w:r>
              <w:rPr>
                <w:rFonts w:ascii="Arial" w:hAnsi="Arial"/>
                <w:b w:val="0"/>
                <w:color w:val="1F2937"/>
                <w:sz w:val="15"/>
              </w:rPr>
              <w:t>Identity, MFA, organisation, property/site, assets, roles, data migration, connectors and training.</w:t>
            </w:r>
          </w:p>
        </w:tc>
        <w:tc>
          <w:tcPr>
            <w:tcW w:type="dxa" w:w="3816"/>
            <w:vAlign w:val="center"/>
            <w:tcMar>
              <w:top w:w="80" w:type="dxa"/>
              <w:start w:w="80" w:type="dxa"/>
              <w:bottom w:w="80" w:type="dxa"/>
              <w:end w:w="80" w:type="dxa"/>
            </w:tcMar>
            <w:shd w:fill="F2F4F7"/>
          </w:tcPr>
          <w:p>
            <w:r/>
            <w:r>
              <w:rPr>
                <w:rFonts w:ascii="Arial" w:hAnsi="Arial"/>
                <w:b w:val="0"/>
                <w:color w:val="1F2937"/>
                <w:sz w:val="15"/>
              </w:rPr>
              <w:t>Tenant, product, user, asset, mapping and acceptance records.</w:t>
            </w:r>
          </w:p>
        </w:tc>
      </w:tr>
      <w:tr>
        <w:trPr>
          <w:cantSplit/>
        </w:trPr>
        <w:tc>
          <w:tcPr>
            <w:tcW w:type="dxa" w:w="1655"/>
            <w:vAlign w:val="center"/>
            <w:tcMar>
              <w:top w:w="80" w:type="dxa"/>
              <w:start w:w="80" w:type="dxa"/>
              <w:bottom w:w="80" w:type="dxa"/>
              <w:end w:w="80" w:type="dxa"/>
            </w:tcMar>
          </w:tcPr>
          <w:p>
            <w:r/>
            <w:r>
              <w:rPr>
                <w:rFonts w:ascii="Arial" w:hAnsi="Arial"/>
                <w:b w:val="0"/>
                <w:color w:val="1F2937"/>
                <w:sz w:val="15"/>
              </w:rPr>
              <w:t>Operate</w:t>
            </w:r>
          </w:p>
        </w:tc>
        <w:tc>
          <w:tcPr>
            <w:tcW w:type="dxa" w:w="4320"/>
            <w:vAlign w:val="center"/>
            <w:tcMar>
              <w:top w:w="80" w:type="dxa"/>
              <w:start w:w="80" w:type="dxa"/>
              <w:bottom w:w="80" w:type="dxa"/>
              <w:end w:w="80" w:type="dxa"/>
            </w:tcMar>
          </w:tcPr>
          <w:p>
            <w:r/>
            <w:r>
              <w:rPr>
                <w:rFonts w:ascii="Arial" w:hAnsi="Arial"/>
                <w:b w:val="0"/>
                <w:color w:val="1F2937"/>
                <w:sz w:val="15"/>
              </w:rPr>
              <w:t>Dashboards, workflows, AI assistance, security posture, support and service status.</w:t>
            </w:r>
          </w:p>
        </w:tc>
        <w:tc>
          <w:tcPr>
            <w:tcW w:type="dxa" w:w="3816"/>
            <w:vAlign w:val="center"/>
            <w:tcMar>
              <w:top w:w="80" w:type="dxa"/>
              <w:start w:w="80" w:type="dxa"/>
              <w:bottom w:w="80" w:type="dxa"/>
              <w:end w:w="80" w:type="dxa"/>
            </w:tcMar>
          </w:tcPr>
          <w:p>
            <w:r/>
            <w:r>
              <w:rPr>
                <w:rFonts w:ascii="Arial" w:hAnsi="Arial"/>
                <w:b w:val="0"/>
                <w:color w:val="1F2937"/>
                <w:sz w:val="15"/>
              </w:rPr>
              <w:t>Product systems of record with shared audit/correlation.</w:t>
            </w:r>
          </w:p>
        </w:tc>
      </w:tr>
      <w:tr>
        <w:trPr>
          <w:cantSplit/>
        </w:trPr>
        <w:tc>
          <w:tcPr>
            <w:tcW w:type="dxa" w:w="1655"/>
            <w:vAlign w:val="center"/>
            <w:tcMar>
              <w:top w:w="80" w:type="dxa"/>
              <w:start w:w="80" w:type="dxa"/>
              <w:bottom w:w="80" w:type="dxa"/>
              <w:end w:w="80" w:type="dxa"/>
            </w:tcMar>
            <w:shd w:fill="F2F4F7"/>
          </w:tcPr>
          <w:p>
            <w:r/>
            <w:r>
              <w:rPr>
                <w:rFonts w:ascii="Arial" w:hAnsi="Arial"/>
                <w:b w:val="0"/>
                <w:color w:val="1F2937"/>
                <w:sz w:val="15"/>
              </w:rPr>
              <w:t>Renew/expand</w:t>
            </w:r>
          </w:p>
        </w:tc>
        <w:tc>
          <w:tcPr>
            <w:tcW w:type="dxa" w:w="4320"/>
            <w:vAlign w:val="center"/>
            <w:tcMar>
              <w:top w:w="80" w:type="dxa"/>
              <w:start w:w="80" w:type="dxa"/>
              <w:bottom w:w="80" w:type="dxa"/>
              <w:end w:w="80" w:type="dxa"/>
            </w:tcMar>
            <w:shd w:fill="F2F4F7"/>
          </w:tcPr>
          <w:p>
            <w:r/>
            <w:r>
              <w:rPr>
                <w:rFonts w:ascii="Arial" w:hAnsi="Arial"/>
                <w:b w:val="0"/>
                <w:color w:val="1F2937"/>
                <w:sz w:val="15"/>
              </w:rPr>
              <w:t>Value report, roadmap, new modules, properties, users, training and managed services.</w:t>
            </w:r>
          </w:p>
        </w:tc>
        <w:tc>
          <w:tcPr>
            <w:tcW w:type="dxa" w:w="3816"/>
            <w:vAlign w:val="center"/>
            <w:tcMar>
              <w:top w:w="80" w:type="dxa"/>
              <w:start w:w="80" w:type="dxa"/>
              <w:bottom w:w="80" w:type="dxa"/>
              <w:end w:w="80" w:type="dxa"/>
            </w:tcMar>
            <w:shd w:fill="F2F4F7"/>
          </w:tcPr>
          <w:p>
            <w:r/>
            <w:r>
              <w:rPr>
                <w:rFonts w:ascii="Arial" w:hAnsi="Arial"/>
                <w:b w:val="0"/>
                <w:color w:val="1F2937"/>
                <w:sz w:val="15"/>
              </w:rPr>
              <w:t>Usage, outcomes, support, risk, margin and renewal decisions.</w:t>
            </w:r>
          </w:p>
        </w:tc>
      </w:tr>
    </w:tbl>
    <w:p>
      <w:pPr>
        <w:pStyle w:val="Heading1"/>
      </w:pPr>
      <w:r>
        <w:t>4. Sentinel AI ecosystem integration</w:t>
      </w:r>
    </w:p>
    <w:p>
      <w:r>
        <w:t>Every Rihuum product registers with Sentinel AI through the shared product registry. Registration defines product identity, security profile, integration capability, data classification, permitted event types, collector/provider requirements and module entitlement. It does not grant access to operational data or actions.</w:t>
      </w:r>
    </w:p>
    <w:p>
      <w:pPr>
        <w:pStyle w:val="ListBullet"/>
      </w:pPr>
      <w:r>
        <w:t>Corporate websites: safe public-web, domain, TLS, email and availability posture.</w:t>
      </w:r>
    </w:p>
    <w:p>
      <w:pPr>
        <w:pStyle w:val="ListBullet"/>
      </w:pPr>
      <w:r>
        <w:t>Rihuum products: secure-development, dependency, secrets, API, identity and release assurance.</w:t>
      </w:r>
    </w:p>
    <w:p>
      <w:pPr>
        <w:pStyle w:val="ListBullet"/>
      </w:pPr>
      <w:r>
        <w:t>Rihuum infrastructure: network, endpoint, backup, cloud, SaaS, smart-security and continuity modules after commissioning.</w:t>
      </w:r>
    </w:p>
    <w:p>
      <w:pPr>
        <w:pStyle w:val="ListBullet"/>
      </w:pPr>
      <w:r>
        <w:t>RAHIS: property-scoped Hospitality Cyber Defence, incidents, controls, backup and integration health events.</w:t>
      </w:r>
    </w:p>
    <w:p>
      <w:pPr>
        <w:pStyle w:val="ListBullet"/>
      </w:pPr>
      <w:r>
        <w:t>Academy: isolated cyber range and authorised lab subscriptions.</w:t>
      </w:r>
    </w:p>
    <w:p>
      <w:pPr>
        <w:pStyle w:val="ListBullet"/>
      </w:pPr>
      <w:r>
        <w:t>Managed services: analyst workspaces, MDR queues, SLAs, customer-specific response authority and evidence.</w:t>
      </w:r>
    </w:p>
    <w:p>
      <w:pPr>
        <w:pStyle w:val="Heading1"/>
      </w:pPr>
      <w:r>
        <w:t>5. RAHIS integration model</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160"/>
            <w:vAlign w:val="center"/>
            <w:shd w:fill="12233F"/>
            <w:tcMar>
              <w:top w:w="80" w:type="dxa"/>
              <w:start w:w="80" w:type="dxa"/>
              <w:bottom w:w="80" w:type="dxa"/>
              <w:end w:w="80" w:type="dxa"/>
            </w:tcMar>
          </w:tcPr>
          <w:p>
            <w:r/>
            <w:r>
              <w:rPr>
                <w:rFonts w:ascii="Arial" w:hAnsi="Arial"/>
                <w:b/>
                <w:color w:val="FFFFFF"/>
                <w:sz w:val="16"/>
              </w:rPr>
              <w:t>Boundary</w:t>
            </w:r>
          </w:p>
        </w:tc>
        <w:tc>
          <w:tcPr>
            <w:tcW w:type="dxa" w:w="7488"/>
            <w:vAlign w:val="center"/>
            <w:shd w:fill="12233F"/>
            <w:tcMar>
              <w:top w:w="80" w:type="dxa"/>
              <w:start w:w="80" w:type="dxa"/>
              <w:bottom w:w="80" w:type="dxa"/>
              <w:end w:w="80" w:type="dxa"/>
            </w:tcMar>
          </w:tcPr>
          <w:p>
            <w:r/>
            <w:r>
              <w:rPr>
                <w:rFonts w:ascii="Arial" w:hAnsi="Arial"/>
                <w:b/>
                <w:color w:val="FFFFFF"/>
                <w:sz w:val="16"/>
              </w:rPr>
              <w:t>Design</w:t>
            </w:r>
          </w:p>
        </w:tc>
      </w:tr>
      <w:tr>
        <w:trPr>
          <w:cantSplit/>
        </w:trPr>
        <w:tc>
          <w:tcPr>
            <w:tcW w:type="dxa" w:w="2160"/>
            <w:vAlign w:val="center"/>
            <w:tcMar>
              <w:top w:w="80" w:type="dxa"/>
              <w:start w:w="80" w:type="dxa"/>
              <w:bottom w:w="80" w:type="dxa"/>
              <w:end w:w="80" w:type="dxa"/>
            </w:tcMar>
          </w:tcPr>
          <w:p>
            <w:r/>
            <w:r>
              <w:rPr>
                <w:rFonts w:ascii="Arial" w:hAnsi="Arial"/>
                <w:b w:val="0"/>
                <w:color w:val="1F2937"/>
                <w:sz w:val="16"/>
              </w:rPr>
              <w:t>Source of truth</w:t>
            </w:r>
          </w:p>
        </w:tc>
        <w:tc>
          <w:tcPr>
            <w:tcW w:type="dxa" w:w="7488"/>
            <w:vAlign w:val="center"/>
            <w:tcMar>
              <w:top w:w="80" w:type="dxa"/>
              <w:start w:w="80" w:type="dxa"/>
              <w:bottom w:w="80" w:type="dxa"/>
              <w:end w:w="80" w:type="dxa"/>
            </w:tcMar>
          </w:tcPr>
          <w:p>
            <w:r/>
            <w:r>
              <w:rPr>
                <w:rFonts w:ascii="Arial" w:hAnsi="Arial"/>
                <w:b w:val="0"/>
                <w:color w:val="1F2937"/>
                <w:sz w:val="16"/>
              </w:rPr>
              <w:t>RAHIS core remains authoritative for hotel operations.</w:t>
            </w:r>
          </w:p>
        </w:tc>
      </w:tr>
      <w:tr>
        <w:trPr>
          <w:cantSplit/>
        </w:trPr>
        <w:tc>
          <w:tcPr>
            <w:tcW w:type="dxa" w:w="2160"/>
            <w:vAlign w:val="center"/>
            <w:tcMar>
              <w:top w:w="80" w:type="dxa"/>
              <w:start w:w="80" w:type="dxa"/>
              <w:bottom w:w="80" w:type="dxa"/>
              <w:end w:w="80" w:type="dxa"/>
            </w:tcMar>
            <w:shd w:fill="F2F4F7"/>
          </w:tcPr>
          <w:p>
            <w:r/>
            <w:r>
              <w:rPr>
                <w:rFonts w:ascii="Arial" w:hAnsi="Arial"/>
                <w:b w:val="0"/>
                <w:color w:val="1F2937"/>
                <w:sz w:val="16"/>
              </w:rPr>
              <w:t>Transport</w:t>
            </w:r>
          </w:p>
        </w:tc>
        <w:tc>
          <w:tcPr>
            <w:tcW w:type="dxa" w:w="7488"/>
            <w:vAlign w:val="center"/>
            <w:tcMar>
              <w:top w:w="80" w:type="dxa"/>
              <w:start w:w="80" w:type="dxa"/>
              <w:bottom w:w="80" w:type="dxa"/>
              <w:end w:w="80" w:type="dxa"/>
            </w:tcMar>
            <w:shd w:fill="F2F4F7"/>
          </w:tcPr>
          <w:p>
            <w:r/>
            <w:r>
              <w:rPr>
                <w:rFonts w:ascii="Arial" w:hAnsi="Arial"/>
                <w:b w:val="0"/>
                <w:color w:val="1F2937"/>
                <w:sz w:val="16"/>
              </w:rPr>
              <w:t>Signed, idempotent, outbound security-event outbox and reconciliation inbox.</w:t>
            </w:r>
          </w:p>
        </w:tc>
      </w:tr>
      <w:tr>
        <w:trPr>
          <w:cantSplit/>
        </w:trPr>
        <w:tc>
          <w:tcPr>
            <w:tcW w:type="dxa" w:w="2160"/>
            <w:vAlign w:val="center"/>
            <w:tcMar>
              <w:top w:w="80" w:type="dxa"/>
              <w:start w:w="80" w:type="dxa"/>
              <w:bottom w:w="80" w:type="dxa"/>
              <w:end w:w="80" w:type="dxa"/>
            </w:tcMar>
          </w:tcPr>
          <w:p>
            <w:r/>
            <w:r>
              <w:rPr>
                <w:rFonts w:ascii="Arial" w:hAnsi="Arial"/>
                <w:b w:val="0"/>
                <w:color w:val="1F2937"/>
                <w:sz w:val="16"/>
              </w:rPr>
              <w:t>Property scope</w:t>
            </w:r>
          </w:p>
        </w:tc>
        <w:tc>
          <w:tcPr>
            <w:tcW w:type="dxa" w:w="7488"/>
            <w:vAlign w:val="center"/>
            <w:tcMar>
              <w:top w:w="80" w:type="dxa"/>
              <w:start w:w="80" w:type="dxa"/>
              <w:bottom w:w="80" w:type="dxa"/>
              <w:end w:w="80" w:type="dxa"/>
            </w:tcMar>
          </w:tcPr>
          <w:p>
            <w:r/>
            <w:r>
              <w:rPr>
                <w:rFonts w:ascii="Arial" w:hAnsi="Arial"/>
                <w:b w:val="0"/>
                <w:color w:val="1F2937"/>
                <w:sz w:val="16"/>
              </w:rPr>
              <w:t>Server-mapped tenant and property reference.</w:t>
            </w:r>
          </w:p>
        </w:tc>
      </w:tr>
      <w:tr>
        <w:trPr>
          <w:cantSplit/>
        </w:trPr>
        <w:tc>
          <w:tcPr>
            <w:tcW w:type="dxa" w:w="2160"/>
            <w:vAlign w:val="center"/>
            <w:tcMar>
              <w:top w:w="80" w:type="dxa"/>
              <w:start w:w="80" w:type="dxa"/>
              <w:bottom w:w="80" w:type="dxa"/>
              <w:end w:w="80" w:type="dxa"/>
            </w:tcMar>
            <w:shd w:fill="F2F4F7"/>
          </w:tcPr>
          <w:p>
            <w:r/>
            <w:r>
              <w:rPr>
                <w:rFonts w:ascii="Arial" w:hAnsi="Arial"/>
                <w:b w:val="0"/>
                <w:color w:val="1F2937"/>
                <w:sz w:val="16"/>
              </w:rPr>
              <w:t>Data minimisation</w:t>
            </w:r>
          </w:p>
        </w:tc>
        <w:tc>
          <w:tcPr>
            <w:tcW w:type="dxa" w:w="7488"/>
            <w:vAlign w:val="center"/>
            <w:tcMar>
              <w:top w:w="80" w:type="dxa"/>
              <w:start w:w="80" w:type="dxa"/>
              <w:bottom w:w="80" w:type="dxa"/>
              <w:end w:w="80" w:type="dxa"/>
            </w:tcMar>
            <w:shd w:fill="F2F4F7"/>
          </w:tcPr>
          <w:p>
            <w:r/>
            <w:r>
              <w:rPr>
                <w:rFonts w:ascii="Arial" w:hAnsi="Arial"/>
                <w:b w:val="0"/>
                <w:color w:val="1F2937"/>
                <w:sz w:val="16"/>
              </w:rPr>
              <w:t>No raw biometrics, card data, passwords, tokens or provider secrets.</w:t>
            </w:r>
          </w:p>
        </w:tc>
      </w:tr>
      <w:tr>
        <w:trPr>
          <w:cantSplit/>
        </w:trPr>
        <w:tc>
          <w:tcPr>
            <w:tcW w:type="dxa" w:w="2160"/>
            <w:vAlign w:val="center"/>
            <w:tcMar>
              <w:top w:w="80" w:type="dxa"/>
              <w:start w:w="80" w:type="dxa"/>
              <w:bottom w:w="80" w:type="dxa"/>
              <w:end w:w="80" w:type="dxa"/>
            </w:tcMar>
          </w:tcPr>
          <w:p>
            <w:r/>
            <w:r>
              <w:rPr>
                <w:rFonts w:ascii="Arial" w:hAnsi="Arial"/>
                <w:b w:val="0"/>
                <w:color w:val="1F2937"/>
                <w:sz w:val="16"/>
              </w:rPr>
              <w:t>Response authority</w:t>
            </w:r>
          </w:p>
        </w:tc>
        <w:tc>
          <w:tcPr>
            <w:tcW w:type="dxa" w:w="7488"/>
            <w:vAlign w:val="center"/>
            <w:tcMar>
              <w:top w:w="80" w:type="dxa"/>
              <w:start w:w="80" w:type="dxa"/>
              <w:bottom w:w="80" w:type="dxa"/>
              <w:end w:w="80" w:type="dxa"/>
            </w:tcMar>
          </w:tcPr>
          <w:p>
            <w:r/>
            <w:r>
              <w:rPr>
                <w:rFonts w:ascii="Arial" w:hAnsi="Arial"/>
                <w:b w:val="0"/>
                <w:color w:val="1F2937"/>
                <w:sz w:val="16"/>
              </w:rPr>
              <w:t>Sentinel entitlement/security responses cannot change hotel ledgers or physical access.</w:t>
            </w:r>
          </w:p>
        </w:tc>
      </w:tr>
      <w:tr>
        <w:trPr>
          <w:cantSplit/>
        </w:trPr>
        <w:tc>
          <w:tcPr>
            <w:tcW w:type="dxa" w:w="2160"/>
            <w:vAlign w:val="center"/>
            <w:tcMar>
              <w:top w:w="80" w:type="dxa"/>
              <w:start w:w="80" w:type="dxa"/>
              <w:bottom w:w="80" w:type="dxa"/>
              <w:end w:w="80" w:type="dxa"/>
            </w:tcMar>
            <w:shd w:fill="F2F4F7"/>
          </w:tcPr>
          <w:p>
            <w:r/>
            <w:r>
              <w:rPr>
                <w:rFonts w:ascii="Arial" w:hAnsi="Arial"/>
                <w:b w:val="0"/>
                <w:color w:val="1F2937"/>
                <w:sz w:val="16"/>
              </w:rPr>
              <w:t>Local systems</w:t>
            </w:r>
          </w:p>
        </w:tc>
        <w:tc>
          <w:tcPr>
            <w:tcW w:type="dxa" w:w="7488"/>
            <w:vAlign w:val="center"/>
            <w:tcMar>
              <w:top w:w="80" w:type="dxa"/>
              <w:start w:w="80" w:type="dxa"/>
              <w:bottom w:w="80" w:type="dxa"/>
              <w:end w:w="80" w:type="dxa"/>
            </w:tcMar>
            <w:shd w:fill="F2F4F7"/>
          </w:tcPr>
          <w:p>
            <w:r/>
            <w:r>
              <w:rPr>
                <w:rFonts w:ascii="Arial" w:hAnsi="Arial"/>
                <w:b w:val="0"/>
                <w:color w:val="1F2937"/>
                <w:sz w:val="16"/>
              </w:rPr>
              <w:t>Hotel-local outbound bridge for private devices and resilient offline queue.</w:t>
            </w:r>
          </w:p>
        </w:tc>
      </w:tr>
    </w:tbl>
    <w:p>
      <w:pPr>
        <w:pStyle w:val="Heading1"/>
      </w:pPr>
      <w:r>
        <w:t>6. Identity, licensing and tenant isolation</w:t>
      </w:r>
    </w:p>
    <w:p>
      <w:pPr>
        <w:pStyle w:val="ListBullet"/>
      </w:pPr>
      <w:r>
        <w:t>One user identity may receive explicit roles in multiple authorised organisations, but every request resolves active organisation context server-side.</w:t>
      </w:r>
    </w:p>
    <w:p>
      <w:pPr>
        <w:pStyle w:val="ListBullet"/>
      </w:pPr>
      <w:r>
        <w:t>Products, editions, modules, connectors, properties, assets and support level are separately entitlable.</w:t>
      </w:r>
    </w:p>
    <w:p>
      <w:pPr>
        <w:pStyle w:val="ListBullet"/>
      </w:pPr>
      <w:r>
        <w:t>Tenant isolation is tested positively and negatively at route, service, query, file, queue, connector and AI retrieval layers.</w:t>
      </w:r>
    </w:p>
    <w:p>
      <w:pPr>
        <w:pStyle w:val="ListBullet"/>
      </w:pPr>
      <w:r>
        <w:t>Platform administration requires MFA and audited privilege; break-glass access is time-limited and reviewed.</w:t>
      </w:r>
    </w:p>
    <w:p>
      <w:pPr>
        <w:pStyle w:val="ListBullet"/>
      </w:pPr>
      <w:r>
        <w:t>No frontend flag, hidden menu or client-supplied tenant ID is an authorisation control.</w:t>
      </w:r>
    </w:p>
    <w:p>
      <w:pPr>
        <w:pStyle w:val="Heading1"/>
      </w:pPr>
      <w:r>
        <w:t>7. Data, integration and event architecture</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160"/>
            <w:vAlign w:val="center"/>
            <w:shd w:fill="12233F"/>
            <w:tcMar>
              <w:top w:w="80" w:type="dxa"/>
              <w:start w:w="80" w:type="dxa"/>
              <w:bottom w:w="80" w:type="dxa"/>
              <w:end w:w="80" w:type="dxa"/>
            </w:tcMar>
          </w:tcPr>
          <w:p>
            <w:r/>
            <w:r>
              <w:rPr>
                <w:rFonts w:ascii="Arial" w:hAnsi="Arial"/>
                <w:b/>
                <w:color w:val="FFFFFF"/>
                <w:sz w:val="16"/>
              </w:rPr>
              <w:t>Component</w:t>
            </w:r>
          </w:p>
        </w:tc>
        <w:tc>
          <w:tcPr>
            <w:tcW w:type="dxa" w:w="7488"/>
            <w:vAlign w:val="center"/>
            <w:shd w:fill="12233F"/>
            <w:tcMar>
              <w:top w:w="80" w:type="dxa"/>
              <w:start w:w="80" w:type="dxa"/>
              <w:bottom w:w="80" w:type="dxa"/>
              <w:end w:w="80" w:type="dxa"/>
            </w:tcMar>
          </w:tcPr>
          <w:p>
            <w:r/>
            <w:r>
              <w:rPr>
                <w:rFonts w:ascii="Arial" w:hAnsi="Arial"/>
                <w:b/>
                <w:color w:val="FFFFFF"/>
                <w:sz w:val="16"/>
              </w:rPr>
              <w:t>Required behaviour</w:t>
            </w:r>
          </w:p>
        </w:tc>
      </w:tr>
      <w:tr>
        <w:trPr>
          <w:cantSplit/>
        </w:trPr>
        <w:tc>
          <w:tcPr>
            <w:tcW w:type="dxa" w:w="2160"/>
            <w:vAlign w:val="center"/>
            <w:tcMar>
              <w:top w:w="80" w:type="dxa"/>
              <w:start w:w="80" w:type="dxa"/>
              <w:bottom w:w="80" w:type="dxa"/>
              <w:end w:w="80" w:type="dxa"/>
            </w:tcMar>
          </w:tcPr>
          <w:p>
            <w:r/>
            <w:r>
              <w:rPr>
                <w:rFonts w:ascii="Arial" w:hAnsi="Arial"/>
                <w:b w:val="0"/>
                <w:color w:val="1F2937"/>
                <w:sz w:val="16"/>
              </w:rPr>
              <w:t>Credential vault</w:t>
            </w:r>
          </w:p>
        </w:tc>
        <w:tc>
          <w:tcPr>
            <w:tcW w:type="dxa" w:w="7488"/>
            <w:vAlign w:val="center"/>
            <w:tcMar>
              <w:top w:w="80" w:type="dxa"/>
              <w:start w:w="80" w:type="dxa"/>
              <w:bottom w:w="80" w:type="dxa"/>
              <w:end w:w="80" w:type="dxa"/>
            </w:tcMar>
          </w:tcPr>
          <w:p>
            <w:r/>
            <w:r>
              <w:rPr>
                <w:rFonts w:ascii="Arial" w:hAnsi="Arial"/>
                <w:b w:val="0"/>
                <w:color w:val="1F2937"/>
                <w:sz w:val="16"/>
              </w:rPr>
              <w:t>Encrypted values or aliases only; secrets excluded from browser, logs and ordinary records.</w:t>
            </w:r>
          </w:p>
        </w:tc>
      </w:tr>
      <w:tr>
        <w:trPr>
          <w:cantSplit/>
        </w:trPr>
        <w:tc>
          <w:tcPr>
            <w:tcW w:type="dxa" w:w="2160"/>
            <w:vAlign w:val="center"/>
            <w:tcMar>
              <w:top w:w="80" w:type="dxa"/>
              <w:start w:w="80" w:type="dxa"/>
              <w:bottom w:w="80" w:type="dxa"/>
              <w:end w:w="80" w:type="dxa"/>
            </w:tcMar>
            <w:shd w:fill="F2F4F7"/>
          </w:tcPr>
          <w:p>
            <w:r/>
            <w:r>
              <w:rPr>
                <w:rFonts w:ascii="Arial" w:hAnsi="Arial"/>
                <w:b w:val="0"/>
                <w:color w:val="1F2937"/>
                <w:sz w:val="16"/>
              </w:rPr>
              <w:t>Adapter registry</w:t>
            </w:r>
          </w:p>
        </w:tc>
        <w:tc>
          <w:tcPr>
            <w:tcW w:type="dxa" w:w="7488"/>
            <w:vAlign w:val="center"/>
            <w:tcMar>
              <w:top w:w="80" w:type="dxa"/>
              <w:start w:w="80" w:type="dxa"/>
              <w:bottom w:w="80" w:type="dxa"/>
              <w:end w:w="80" w:type="dxa"/>
            </w:tcMar>
            <w:shd w:fill="F2F4F7"/>
          </w:tcPr>
          <w:p>
            <w:r/>
            <w:r>
              <w:rPr>
                <w:rFonts w:ascii="Arial" w:hAnsi="Arial"/>
                <w:b w:val="0"/>
                <w:color w:val="1F2937"/>
                <w:sz w:val="16"/>
              </w:rPr>
              <w:t>Capabilities, environment, scopes, version, owner, health and revocation.</w:t>
            </w:r>
          </w:p>
        </w:tc>
      </w:tr>
      <w:tr>
        <w:trPr>
          <w:cantSplit/>
        </w:trPr>
        <w:tc>
          <w:tcPr>
            <w:tcW w:type="dxa" w:w="2160"/>
            <w:vAlign w:val="center"/>
            <w:tcMar>
              <w:top w:w="80" w:type="dxa"/>
              <w:start w:w="80" w:type="dxa"/>
              <w:bottom w:w="80" w:type="dxa"/>
              <w:end w:w="80" w:type="dxa"/>
            </w:tcMar>
          </w:tcPr>
          <w:p>
            <w:r/>
            <w:r>
              <w:rPr>
                <w:rFonts w:ascii="Arial" w:hAnsi="Arial"/>
                <w:b w:val="0"/>
                <w:color w:val="1F2937"/>
                <w:sz w:val="16"/>
              </w:rPr>
              <w:t>Outbox/inbox</w:t>
            </w:r>
          </w:p>
        </w:tc>
        <w:tc>
          <w:tcPr>
            <w:tcW w:type="dxa" w:w="7488"/>
            <w:vAlign w:val="center"/>
            <w:tcMar>
              <w:top w:w="80" w:type="dxa"/>
              <w:start w:w="80" w:type="dxa"/>
              <w:bottom w:w="80" w:type="dxa"/>
              <w:end w:w="80" w:type="dxa"/>
            </w:tcMar>
          </w:tcPr>
          <w:p>
            <w:r/>
            <w:r>
              <w:rPr>
                <w:rFonts w:ascii="Arial" w:hAnsi="Arial"/>
                <w:b w:val="0"/>
                <w:color w:val="1F2937"/>
                <w:sz w:val="16"/>
              </w:rPr>
              <w:t>Transactional write, signed delivery, retries, deduplication, raw-evidence control and reconciliation.</w:t>
            </w:r>
          </w:p>
        </w:tc>
      </w:tr>
      <w:tr>
        <w:trPr>
          <w:cantSplit/>
        </w:trPr>
        <w:tc>
          <w:tcPr>
            <w:tcW w:type="dxa" w:w="2160"/>
            <w:vAlign w:val="center"/>
            <w:tcMar>
              <w:top w:w="80" w:type="dxa"/>
              <w:start w:w="80" w:type="dxa"/>
              <w:bottom w:w="80" w:type="dxa"/>
              <w:end w:w="80" w:type="dxa"/>
            </w:tcMar>
            <w:shd w:fill="F2F4F7"/>
          </w:tcPr>
          <w:p>
            <w:r/>
            <w:r>
              <w:rPr>
                <w:rFonts w:ascii="Arial" w:hAnsi="Arial"/>
                <w:b w:val="0"/>
                <w:color w:val="1F2937"/>
                <w:sz w:val="16"/>
              </w:rPr>
              <w:t>Mappings</w:t>
            </w:r>
          </w:p>
        </w:tc>
        <w:tc>
          <w:tcPr>
            <w:tcW w:type="dxa" w:w="7488"/>
            <w:vAlign w:val="center"/>
            <w:tcMar>
              <w:top w:w="80" w:type="dxa"/>
              <w:start w:w="80" w:type="dxa"/>
              <w:bottom w:w="80" w:type="dxa"/>
              <w:end w:w="80" w:type="dxa"/>
            </w:tcMar>
            <w:shd w:fill="F2F4F7"/>
          </w:tcPr>
          <w:p>
            <w:r/>
            <w:r>
              <w:rPr>
                <w:rFonts w:ascii="Arial" w:hAnsi="Arial"/>
                <w:b w:val="0"/>
                <w:color w:val="1F2937"/>
                <w:sz w:val="16"/>
              </w:rPr>
              <w:t>Tenant/property/provider-scoped identifiers and status.</w:t>
            </w:r>
          </w:p>
        </w:tc>
      </w:tr>
      <w:tr>
        <w:trPr>
          <w:cantSplit/>
        </w:trPr>
        <w:tc>
          <w:tcPr>
            <w:tcW w:type="dxa" w:w="2160"/>
            <w:vAlign w:val="center"/>
            <w:tcMar>
              <w:top w:w="80" w:type="dxa"/>
              <w:start w:w="80" w:type="dxa"/>
              <w:bottom w:w="80" w:type="dxa"/>
              <w:end w:w="80" w:type="dxa"/>
            </w:tcMar>
          </w:tcPr>
          <w:p>
            <w:r/>
            <w:r>
              <w:rPr>
                <w:rFonts w:ascii="Arial" w:hAnsi="Arial"/>
                <w:b w:val="0"/>
                <w:color w:val="1F2937"/>
                <w:sz w:val="16"/>
              </w:rPr>
              <w:t>Analytics</w:t>
            </w:r>
          </w:p>
        </w:tc>
        <w:tc>
          <w:tcPr>
            <w:tcW w:type="dxa" w:w="7488"/>
            <w:vAlign w:val="center"/>
            <w:tcMar>
              <w:top w:w="80" w:type="dxa"/>
              <w:start w:w="80" w:type="dxa"/>
              <w:bottom w:w="80" w:type="dxa"/>
              <w:end w:w="80" w:type="dxa"/>
            </w:tcMar>
          </w:tcPr>
          <w:p>
            <w:r/>
            <w:r>
              <w:rPr>
                <w:rFonts w:ascii="Arial" w:hAnsi="Arial"/>
                <w:b w:val="0"/>
                <w:color w:val="1F2937"/>
                <w:sz w:val="16"/>
              </w:rPr>
              <w:t>Defined metrics, source lineage, calculation version, quality and uncertainty.</w:t>
            </w:r>
          </w:p>
        </w:tc>
      </w:tr>
      <w:tr>
        <w:trPr>
          <w:cantSplit/>
        </w:trPr>
        <w:tc>
          <w:tcPr>
            <w:tcW w:type="dxa" w:w="2160"/>
            <w:vAlign w:val="center"/>
            <w:tcMar>
              <w:top w:w="80" w:type="dxa"/>
              <w:start w:w="80" w:type="dxa"/>
              <w:bottom w:w="80" w:type="dxa"/>
              <w:end w:w="80" w:type="dxa"/>
            </w:tcMar>
            <w:shd w:fill="F2F4F7"/>
          </w:tcPr>
          <w:p>
            <w:r/>
            <w:r>
              <w:rPr>
                <w:rFonts w:ascii="Arial" w:hAnsi="Arial"/>
                <w:b w:val="0"/>
                <w:color w:val="1F2937"/>
                <w:sz w:val="16"/>
              </w:rPr>
              <w:t>AI context</w:t>
            </w:r>
          </w:p>
        </w:tc>
        <w:tc>
          <w:tcPr>
            <w:tcW w:type="dxa" w:w="7488"/>
            <w:vAlign w:val="center"/>
            <w:tcMar>
              <w:top w:w="80" w:type="dxa"/>
              <w:start w:w="80" w:type="dxa"/>
              <w:bottom w:w="80" w:type="dxa"/>
              <w:end w:w="80" w:type="dxa"/>
            </w:tcMar>
            <w:shd w:fill="F2F4F7"/>
          </w:tcPr>
          <w:p>
            <w:r/>
            <w:r>
              <w:rPr>
                <w:rFonts w:ascii="Arial" w:hAnsi="Arial"/>
                <w:b w:val="0"/>
                <w:color w:val="1F2937"/>
                <w:sz w:val="16"/>
              </w:rPr>
              <w:t>Role-filtered retrieval, minimisation, provenance, evaluation and kill switches.</w:t>
            </w:r>
          </w:p>
        </w:tc>
      </w:tr>
    </w:tbl>
    <w:p>
      <w:pPr>
        <w:pStyle w:val="Heading1"/>
      </w:pPr>
      <w:r>
        <w:t>8. Deployment topology and migration</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1440"/>
            <w:vAlign w:val="center"/>
            <w:shd w:fill="12233F"/>
            <w:tcMar>
              <w:top w:w="80" w:type="dxa"/>
              <w:start w:w="80" w:type="dxa"/>
              <w:bottom w:w="80" w:type="dxa"/>
              <w:end w:w="80" w:type="dxa"/>
            </w:tcMar>
          </w:tcPr>
          <w:p>
            <w:r/>
            <w:r>
              <w:rPr>
                <w:rFonts w:ascii="Arial" w:hAnsi="Arial"/>
                <w:b/>
                <w:color w:val="FFFFFF"/>
                <w:sz w:val="15"/>
              </w:rPr>
              <w:t>Stage</w:t>
            </w:r>
          </w:p>
        </w:tc>
        <w:tc>
          <w:tcPr>
            <w:tcW w:type="dxa" w:w="5040"/>
            <w:vAlign w:val="center"/>
            <w:shd w:fill="12233F"/>
            <w:tcMar>
              <w:top w:w="80" w:type="dxa"/>
              <w:start w:w="80" w:type="dxa"/>
              <w:bottom w:w="80" w:type="dxa"/>
              <w:end w:w="80" w:type="dxa"/>
            </w:tcMar>
          </w:tcPr>
          <w:p>
            <w:r/>
            <w:r>
              <w:rPr>
                <w:rFonts w:ascii="Arial" w:hAnsi="Arial"/>
                <w:b/>
                <w:color w:val="FFFFFF"/>
                <w:sz w:val="15"/>
              </w:rPr>
              <w:t>Digital ecosystem placement</w:t>
            </w:r>
          </w:p>
        </w:tc>
        <w:tc>
          <w:tcPr>
            <w:tcW w:type="dxa" w:w="3168"/>
            <w:vAlign w:val="center"/>
            <w:shd w:fill="12233F"/>
            <w:tcMar>
              <w:top w:w="80" w:type="dxa"/>
              <w:start w:w="80" w:type="dxa"/>
              <w:bottom w:w="80" w:type="dxa"/>
              <w:end w:w="80" w:type="dxa"/>
            </w:tcMar>
          </w:tcPr>
          <w:p>
            <w:r/>
            <w:r>
              <w:rPr>
                <w:rFonts w:ascii="Arial" w:hAnsi="Arial"/>
                <w:b/>
                <w:color w:val="FFFFFF"/>
                <w:sz w:val="15"/>
              </w:rPr>
              <w:t>Trigger</w:t>
            </w:r>
          </w:p>
        </w:tc>
      </w:tr>
      <w:tr>
        <w:trPr>
          <w:cantSplit/>
        </w:trPr>
        <w:tc>
          <w:tcPr>
            <w:tcW w:type="dxa" w:w="1440"/>
            <w:vAlign w:val="center"/>
            <w:tcMar>
              <w:top w:w="80" w:type="dxa"/>
              <w:start w:w="80" w:type="dxa"/>
              <w:bottom w:w="80" w:type="dxa"/>
              <w:end w:w="80" w:type="dxa"/>
            </w:tcMar>
          </w:tcPr>
          <w:p>
            <w:r>
              <w:rPr>
                <w:rFonts w:ascii="Arial" w:hAnsi="Arial"/>
                <w:b w:val="0"/>
                <w:color w:val="1F2937"/>
                <w:sz w:val="15"/>
              </w:rPr>
              <w:t>Current Sites/D1</w:t>
            </w:r>
          </w:p>
        </w:tc>
        <w:tc>
          <w:tcPr>
            <w:tcW w:type="dxa" w:w="5040"/>
            <w:vAlign w:val="center"/>
            <w:tcMar>
              <w:top w:w="80" w:type="dxa"/>
              <w:start w:w="80" w:type="dxa"/>
              <w:bottom w:w="80" w:type="dxa"/>
              <w:end w:w="80" w:type="dxa"/>
            </w:tcMar>
          </w:tcPr>
          <w:p>
            <w:r>
              <w:rPr>
                <w:rFonts w:ascii="Arial" w:hAnsi="Arial"/>
                <w:b w:val="0"/>
                <w:color w:val="1F2937"/>
                <w:sz w:val="15"/>
              </w:rPr>
              <w:t>OpenAI Sites application delivery and D1 controlled application data; Namecheap registrar, authoritative DNS and domain email.</w:t>
            </w:r>
          </w:p>
        </w:tc>
        <w:tc>
          <w:tcPr>
            <w:tcW w:type="dxa" w:w="3168"/>
            <w:vAlign w:val="center"/>
            <w:tcMar>
              <w:top w:w="80" w:type="dxa"/>
              <w:start w:w="80" w:type="dxa"/>
              <w:bottom w:w="80" w:type="dxa"/>
              <w:end w:w="80" w:type="dxa"/>
            </w:tcMar>
          </w:tcPr>
          <w:p>
            <w:r>
              <w:rPr>
                <w:rFonts w:ascii="Arial" w:hAnsi="Arial"/>
                <w:b w:val="0"/>
                <w:color w:val="1F2937"/>
                <w:sz w:val="15"/>
              </w:rPr>
              <w:t>Continue while security, reliability, data, workload and commercial constraints are satisfied.</w:t>
            </w:r>
          </w:p>
        </w:tc>
      </w:tr>
      <w:tr>
        <w:trPr>
          <w:cantSplit/>
        </w:trPr>
        <w:tc>
          <w:tcPr>
            <w:tcW w:type="dxa" w:w="1440"/>
            <w:vAlign w:val="center"/>
            <w:tcMar>
              <w:top w:w="80" w:type="dxa"/>
              <w:start w:w="80" w:type="dxa"/>
              <w:bottom w:w="80" w:type="dxa"/>
              <w:end w:w="80" w:type="dxa"/>
            </w:tcMar>
            <w:shd w:fill="F2F4F7"/>
          </w:tcPr>
          <w:p>
            <w:r>
              <w:rPr>
                <w:rFonts w:ascii="Arial" w:hAnsi="Arial"/>
                <w:b w:val="0"/>
                <w:color w:val="1F2937"/>
                <w:sz w:val="15"/>
              </w:rPr>
              <w:t>Bounded shared hosting / staging</w:t>
            </w:r>
          </w:p>
        </w:tc>
        <w:tc>
          <w:tcPr>
            <w:tcW w:type="dxa" w:w="5040"/>
            <w:vAlign w:val="center"/>
            <w:tcMar>
              <w:top w:w="80" w:type="dxa"/>
              <w:start w:w="80" w:type="dxa"/>
              <w:bottom w:w="80" w:type="dxa"/>
              <w:end w:w="80" w:type="dxa"/>
            </w:tcMar>
            <w:shd w:fill="F2F4F7"/>
          </w:tcPr>
          <w:p>
            <w:r>
              <w:rPr>
                <w:rFonts w:ascii="Arial" w:hAnsi="Arial"/>
                <w:b w:val="0"/>
                <w:color w:val="1F2937"/>
                <w:sz w:val="15"/>
              </w:rPr>
              <w:t>Low-risk PHP/MySQL pilots and the Sentinel v0.2.0-alpha Namecheap-compatible staging candidate only.</w:t>
            </w:r>
          </w:p>
        </w:tc>
        <w:tc>
          <w:tcPr>
            <w:tcW w:type="dxa" w:w="3168"/>
            <w:vAlign w:val="center"/>
            <w:tcMar>
              <w:top w:w="80" w:type="dxa"/>
              <w:start w:w="80" w:type="dxa"/>
              <w:bottom w:w="80" w:type="dxa"/>
              <w:end w:w="80" w:type="dxa"/>
            </w:tcMar>
            <w:shd w:fill="F2F4F7"/>
          </w:tcPr>
          <w:p>
            <w:r>
              <w:rPr>
                <w:rFonts w:ascii="Arial" w:hAnsi="Arial"/>
                <w:b w:val="0"/>
                <w:color w:val="1F2937"/>
                <w:sz w:val="15"/>
              </w:rPr>
              <w:t>Plan limits, isolation, clean install, backup/restore, security and performance must be evidenced.</w:t>
            </w:r>
          </w:p>
        </w:tc>
      </w:tr>
      <w:tr>
        <w:trPr>
          <w:cantSplit/>
        </w:trPr>
        <w:tc>
          <w:tcPr>
            <w:tcW w:type="dxa" w:w="1440"/>
            <w:vAlign w:val="center"/>
            <w:tcMar>
              <w:top w:w="80" w:type="dxa"/>
              <w:start w:w="80" w:type="dxa"/>
              <w:bottom w:w="80" w:type="dxa"/>
              <w:end w:w="80" w:type="dxa"/>
            </w:tcMar>
          </w:tcPr>
          <w:p>
            <w:r>
              <w:rPr>
                <w:rFonts w:ascii="Arial" w:hAnsi="Arial"/>
                <w:b w:val="0"/>
                <w:color w:val="1F2937"/>
                <w:sz w:val="15"/>
              </w:rPr>
              <w:t>VPS / hybrid</w:t>
            </w:r>
          </w:p>
        </w:tc>
        <w:tc>
          <w:tcPr>
            <w:tcW w:type="dxa" w:w="5040"/>
            <w:vAlign w:val="center"/>
            <w:tcMar>
              <w:top w:w="80" w:type="dxa"/>
              <w:start w:w="80" w:type="dxa"/>
              <w:bottom w:w="80" w:type="dxa"/>
              <w:end w:w="80" w:type="dxa"/>
            </w:tcMar>
          </w:tcPr>
          <w:p>
            <w:r>
              <w:rPr>
                <w:rFonts w:ascii="Arial" w:hAnsi="Arial"/>
                <w:b w:val="0"/>
                <w:color w:val="1F2937"/>
                <w:sz w:val="15"/>
              </w:rPr>
              <w:t>Workers, queues, managed data/object storage and observability, plus customer/hotel outbound collectors where needed.</w:t>
            </w:r>
          </w:p>
        </w:tc>
        <w:tc>
          <w:tcPr>
            <w:tcW w:type="dxa" w:w="3168"/>
            <w:vAlign w:val="center"/>
            <w:tcMar>
              <w:top w:w="80" w:type="dxa"/>
              <w:start w:w="80" w:type="dxa"/>
              <w:bottom w:w="80" w:type="dxa"/>
              <w:end w:w="80" w:type="dxa"/>
            </w:tcMar>
          </w:tcPr>
          <w:p>
            <w:r>
              <w:rPr>
                <w:rFonts w:ascii="Arial" w:hAnsi="Arial"/>
                <w:b w:val="0"/>
                <w:color w:val="1F2937"/>
                <w:sz w:val="15"/>
              </w:rPr>
              <w:t>Queue delay, capacity, private-device, offline-resilience, isolation or operational-control trigger.</w:t>
            </w:r>
          </w:p>
        </w:tc>
      </w:tr>
      <w:tr>
        <w:trPr>
          <w:cantSplit/>
        </w:trPr>
        <w:tc>
          <w:tcPr>
            <w:tcW w:type="dxa" w:w="1440"/>
            <w:vAlign w:val="center"/>
            <w:tcMar>
              <w:top w:w="80" w:type="dxa"/>
              <w:start w:w="80" w:type="dxa"/>
              <w:bottom w:w="80" w:type="dxa"/>
              <w:end w:w="80" w:type="dxa"/>
            </w:tcMar>
            <w:shd w:fill="F2F4F7"/>
          </w:tcPr>
          <w:p>
            <w:r>
              <w:rPr>
                <w:rFonts w:ascii="Arial" w:hAnsi="Arial"/>
                <w:b w:val="0"/>
                <w:color w:val="1F2937"/>
                <w:sz w:val="15"/>
              </w:rPr>
              <w:t>Regional cloud / SaaS</w:t>
            </w:r>
          </w:p>
        </w:tc>
        <w:tc>
          <w:tcPr>
            <w:tcW w:type="dxa" w:w="5040"/>
            <w:vAlign w:val="center"/>
            <w:tcMar>
              <w:top w:w="80" w:type="dxa"/>
              <w:start w:w="80" w:type="dxa"/>
              <w:bottom w:w="80" w:type="dxa"/>
              <w:end w:w="80" w:type="dxa"/>
            </w:tcMar>
            <w:shd w:fill="F2F4F7"/>
          </w:tcPr>
          <w:p>
            <w:r>
              <w:rPr>
                <w:rFonts w:ascii="Arial" w:hAnsi="Arial"/>
                <w:b w:val="0"/>
                <w:color w:val="1F2937"/>
                <w:sz w:val="15"/>
              </w:rPr>
              <w:t>Regional multi-tenancy, autoscaling, HA/DR, formal SRE and data-residency controls.</w:t>
            </w:r>
          </w:p>
        </w:tc>
        <w:tc>
          <w:tcPr>
            <w:tcW w:type="dxa" w:w="3168"/>
            <w:vAlign w:val="center"/>
            <w:tcMar>
              <w:top w:w="80" w:type="dxa"/>
              <w:start w:w="80" w:type="dxa"/>
              <w:bottom w:w="80" w:type="dxa"/>
              <w:end w:w="80" w:type="dxa"/>
            </w:tcMar>
            <w:shd w:fill="F2F4F7"/>
          </w:tcPr>
          <w:p>
            <w:r>
              <w:rPr>
                <w:rFonts w:ascii="Arial" w:hAnsi="Arial"/>
                <w:b w:val="0"/>
                <w:color w:val="1F2937"/>
                <w:sz w:val="15"/>
              </w:rPr>
              <w:t>Sustained multi-country scale, approved SLOs, compliance and commercial capacity.</w:t>
            </w:r>
          </w:p>
        </w:tc>
      </w:tr>
    </w:tbl>
    <w:p>
      <w:pPr>
        <w:pStyle w:val="Heading1"/>
      </w:pPr>
      <w:r>
        <w:t>9. Search, content, analytics and trust</w:t>
      </w:r>
    </w:p>
    <w:p>
      <w:pPr>
        <w:pStyle w:val="ListBullet"/>
      </w:pPr>
      <w:r>
        <w:t>Original expert-reviewed content mapped to buyer questions, sector problems, product evidence and conversion paths.</w:t>
      </w:r>
    </w:p>
    <w:p>
      <w:pPr>
        <w:pStyle w:val="ListBullet"/>
      </w:pPr>
      <w:r>
        <w:t>Clear maturity labels and no unsupported “fully integrated”, “guaranteed”, certification or universal-tracking claims.</w:t>
      </w:r>
    </w:p>
    <w:p>
      <w:pPr>
        <w:pStyle w:val="ListBullet"/>
      </w:pPr>
      <w:r>
        <w:t>GA4 measurement ID G-CLFV1L0KVJ is confirmed for rihuum.tech only. GA4 for rihuum.com and rihuum.net, GTM, Search Console values, AdSense publisher/seller data and Maps API/Place ID remain manual activation inputs subject to approved accounts, consent, privacy and production testing.</w:t>
      </w:r>
    </w:p>
    <w:p>
      <w:pPr>
        <w:pStyle w:val="ListBullet"/>
      </w:pPr>
      <w:r>
        <w:t>XML sitemaps, robots, structured data, Open Graph, accessibility and performance are release-controlled.</w:t>
      </w:r>
    </w:p>
    <w:p>
      <w:pPr>
        <w:pStyle w:val="ListBullet"/>
      </w:pPr>
      <w:r>
        <w:t>Security advisories, status, incident communications and responsible disclosure have designated owners.</w:t>
      </w:r>
    </w:p>
    <w:p>
      <w:pPr>
        <w:pStyle w:val="Heading1"/>
      </w:pPr>
      <w:r>
        <w:t>10. Operating governance</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448"/>
            <w:vAlign w:val="center"/>
            <w:shd w:fill="12233F"/>
            <w:tcMar>
              <w:top w:w="80" w:type="dxa"/>
              <w:start w:w="80" w:type="dxa"/>
              <w:bottom w:w="80" w:type="dxa"/>
              <w:end w:w="80" w:type="dxa"/>
            </w:tcMar>
          </w:tcPr>
          <w:p>
            <w:r/>
            <w:r>
              <w:rPr>
                <w:rFonts w:ascii="Arial" w:hAnsi="Arial"/>
                <w:b/>
                <w:color w:val="FFFFFF"/>
                <w:sz w:val="16"/>
              </w:rPr>
              <w:t>Forum</w:t>
            </w:r>
          </w:p>
        </w:tc>
        <w:tc>
          <w:tcPr>
            <w:tcW w:type="dxa" w:w="7200"/>
            <w:vAlign w:val="center"/>
            <w:shd w:fill="12233F"/>
            <w:tcMar>
              <w:top w:w="80" w:type="dxa"/>
              <w:start w:w="80" w:type="dxa"/>
              <w:bottom w:w="80" w:type="dxa"/>
              <w:end w:w="80" w:type="dxa"/>
            </w:tcMar>
          </w:tcPr>
          <w:p>
            <w:r/>
            <w:r>
              <w:rPr>
                <w:rFonts w:ascii="Arial" w:hAnsi="Arial"/>
                <w:b/>
                <w:color w:val="FFFFFF"/>
                <w:sz w:val="16"/>
              </w:rPr>
              <w:t>Decision responsibility</w:t>
            </w:r>
          </w:p>
        </w:tc>
      </w:tr>
      <w:tr>
        <w:trPr>
          <w:cantSplit/>
        </w:trPr>
        <w:tc>
          <w:tcPr>
            <w:tcW w:type="dxa" w:w="2448"/>
            <w:vAlign w:val="center"/>
            <w:tcMar>
              <w:top w:w="80" w:type="dxa"/>
              <w:start w:w="80" w:type="dxa"/>
              <w:bottom w:w="80" w:type="dxa"/>
              <w:end w:w="80" w:type="dxa"/>
            </w:tcMar>
          </w:tcPr>
          <w:p>
            <w:r/>
            <w:r>
              <w:rPr>
                <w:rFonts w:ascii="Arial" w:hAnsi="Arial"/>
                <w:b w:val="0"/>
                <w:color w:val="1F2937"/>
                <w:sz w:val="16"/>
              </w:rPr>
              <w:t>Board/Executive</w:t>
            </w:r>
          </w:p>
        </w:tc>
        <w:tc>
          <w:tcPr>
            <w:tcW w:type="dxa" w:w="7200"/>
            <w:vAlign w:val="center"/>
            <w:tcMar>
              <w:top w:w="80" w:type="dxa"/>
              <w:start w:w="80" w:type="dxa"/>
              <w:bottom w:w="80" w:type="dxa"/>
              <w:end w:w="80" w:type="dxa"/>
            </w:tcMar>
          </w:tcPr>
          <w:p>
            <w:r/>
            <w:r>
              <w:rPr>
                <w:rFonts w:ascii="Arial" w:hAnsi="Arial"/>
                <w:b w:val="0"/>
                <w:color w:val="1F2937"/>
                <w:sz w:val="16"/>
              </w:rPr>
              <w:t>Strategy, capital, legal/risk appetite, major partnerships and production authority.</w:t>
            </w:r>
          </w:p>
        </w:tc>
      </w:tr>
      <w:tr>
        <w:trPr>
          <w:cantSplit/>
        </w:trPr>
        <w:tc>
          <w:tcPr>
            <w:tcW w:type="dxa" w:w="2448"/>
            <w:vAlign w:val="center"/>
            <w:tcMar>
              <w:top w:w="80" w:type="dxa"/>
              <w:start w:w="80" w:type="dxa"/>
              <w:bottom w:w="80" w:type="dxa"/>
              <w:end w:w="80" w:type="dxa"/>
            </w:tcMar>
            <w:shd w:fill="F2F4F7"/>
          </w:tcPr>
          <w:p>
            <w:r/>
            <w:r>
              <w:rPr>
                <w:rFonts w:ascii="Arial" w:hAnsi="Arial"/>
                <w:b w:val="0"/>
                <w:color w:val="1F2937"/>
                <w:sz w:val="16"/>
              </w:rPr>
              <w:t>Product and Technology Council</w:t>
            </w:r>
          </w:p>
        </w:tc>
        <w:tc>
          <w:tcPr>
            <w:tcW w:type="dxa" w:w="7200"/>
            <w:vAlign w:val="center"/>
            <w:tcMar>
              <w:top w:w="80" w:type="dxa"/>
              <w:start w:w="80" w:type="dxa"/>
              <w:bottom w:w="80" w:type="dxa"/>
              <w:end w:w="80" w:type="dxa"/>
            </w:tcMar>
            <w:shd w:fill="F2F4F7"/>
          </w:tcPr>
          <w:p>
            <w:r/>
            <w:r>
              <w:rPr>
                <w:rFonts w:ascii="Arial" w:hAnsi="Arial"/>
                <w:b w:val="0"/>
                <w:color w:val="1F2937"/>
                <w:sz w:val="16"/>
              </w:rPr>
              <w:t>Architecture, module priority, AI governance, standards and lifecycle.</w:t>
            </w:r>
          </w:p>
        </w:tc>
      </w:tr>
      <w:tr>
        <w:trPr>
          <w:cantSplit/>
        </w:trPr>
        <w:tc>
          <w:tcPr>
            <w:tcW w:type="dxa" w:w="2448"/>
            <w:vAlign w:val="center"/>
            <w:tcMar>
              <w:top w:w="80" w:type="dxa"/>
              <w:start w:w="80" w:type="dxa"/>
              <w:bottom w:w="80" w:type="dxa"/>
              <w:end w:w="80" w:type="dxa"/>
            </w:tcMar>
          </w:tcPr>
          <w:p>
            <w:r/>
            <w:r>
              <w:rPr>
                <w:rFonts w:ascii="Arial" w:hAnsi="Arial"/>
                <w:b w:val="0"/>
                <w:color w:val="1F2937"/>
                <w:sz w:val="16"/>
              </w:rPr>
              <w:t>Security and Data Governance</w:t>
            </w:r>
          </w:p>
        </w:tc>
        <w:tc>
          <w:tcPr>
            <w:tcW w:type="dxa" w:w="7200"/>
            <w:vAlign w:val="center"/>
            <w:tcMar>
              <w:top w:w="80" w:type="dxa"/>
              <w:start w:w="80" w:type="dxa"/>
              <w:bottom w:w="80" w:type="dxa"/>
              <w:end w:w="80" w:type="dxa"/>
            </w:tcMar>
          </w:tcPr>
          <w:p>
            <w:r/>
            <w:r>
              <w:rPr>
                <w:rFonts w:ascii="Arial" w:hAnsi="Arial"/>
                <w:b w:val="0"/>
                <w:color w:val="1F2937"/>
                <w:sz w:val="16"/>
              </w:rPr>
              <w:t>Authorised-use policy, threat models, privacy, incidents, evidence and assurance.</w:t>
            </w:r>
          </w:p>
        </w:tc>
      </w:tr>
      <w:tr>
        <w:trPr>
          <w:cantSplit/>
        </w:trPr>
        <w:tc>
          <w:tcPr>
            <w:tcW w:type="dxa" w:w="2448"/>
            <w:vAlign w:val="center"/>
            <w:tcMar>
              <w:top w:w="80" w:type="dxa"/>
              <w:start w:w="80" w:type="dxa"/>
              <w:bottom w:w="80" w:type="dxa"/>
              <w:end w:w="80" w:type="dxa"/>
            </w:tcMar>
            <w:shd w:fill="F2F4F7"/>
          </w:tcPr>
          <w:p>
            <w:r/>
            <w:r>
              <w:rPr>
                <w:rFonts w:ascii="Arial" w:hAnsi="Arial"/>
                <w:b w:val="0"/>
                <w:color w:val="1F2937"/>
                <w:sz w:val="16"/>
              </w:rPr>
              <w:t>Delivery Office</w:t>
            </w:r>
          </w:p>
        </w:tc>
        <w:tc>
          <w:tcPr>
            <w:tcW w:type="dxa" w:w="7200"/>
            <w:vAlign w:val="center"/>
            <w:tcMar>
              <w:top w:w="80" w:type="dxa"/>
              <w:start w:w="80" w:type="dxa"/>
              <w:bottom w:w="80" w:type="dxa"/>
              <w:end w:w="80" w:type="dxa"/>
            </w:tcMar>
            <w:shd w:fill="F2F4F7"/>
          </w:tcPr>
          <w:p>
            <w:r/>
            <w:r>
              <w:rPr>
                <w:rFonts w:ascii="Arial" w:hAnsi="Arial"/>
                <w:b w:val="0"/>
                <w:color w:val="1F2937"/>
                <w:sz w:val="16"/>
              </w:rPr>
              <w:t>Requirements, implementation, test gates, migration, training, UAT and hypercare.</w:t>
            </w:r>
          </w:p>
        </w:tc>
      </w:tr>
      <w:tr>
        <w:trPr>
          <w:cantSplit/>
        </w:trPr>
        <w:tc>
          <w:tcPr>
            <w:tcW w:type="dxa" w:w="2448"/>
            <w:vAlign w:val="center"/>
            <w:tcMar>
              <w:top w:w="80" w:type="dxa"/>
              <w:start w:w="80" w:type="dxa"/>
              <w:bottom w:w="80" w:type="dxa"/>
              <w:end w:w="80" w:type="dxa"/>
            </w:tcMar>
          </w:tcPr>
          <w:p>
            <w:r/>
            <w:r>
              <w:rPr>
                <w:rFonts w:ascii="Arial" w:hAnsi="Arial"/>
                <w:b w:val="0"/>
                <w:color w:val="1F2937"/>
                <w:sz w:val="16"/>
              </w:rPr>
              <w:t>Commercial Office</w:t>
            </w:r>
          </w:p>
        </w:tc>
        <w:tc>
          <w:tcPr>
            <w:tcW w:type="dxa" w:w="7200"/>
            <w:vAlign w:val="center"/>
            <w:tcMar>
              <w:top w:w="80" w:type="dxa"/>
              <w:start w:w="80" w:type="dxa"/>
              <w:bottom w:w="80" w:type="dxa"/>
              <w:end w:w="80" w:type="dxa"/>
            </w:tcMar>
          </w:tcPr>
          <w:p>
            <w:r/>
            <w:r>
              <w:rPr>
                <w:rFonts w:ascii="Arial" w:hAnsi="Arial"/>
                <w:b w:val="0"/>
                <w:color w:val="1F2937"/>
                <w:sz w:val="16"/>
              </w:rPr>
              <w:t>Pricing, contracts, licensing, sales claims, customer success and renewals.</w:t>
            </w:r>
          </w:p>
        </w:tc>
      </w:tr>
      <w:tr>
        <w:trPr>
          <w:cantSplit/>
        </w:trPr>
        <w:tc>
          <w:tcPr>
            <w:tcW w:type="dxa" w:w="2448"/>
            <w:vAlign w:val="center"/>
            <w:tcMar>
              <w:top w:w="80" w:type="dxa"/>
              <w:start w:w="80" w:type="dxa"/>
              <w:bottom w:w="80" w:type="dxa"/>
              <w:end w:w="80" w:type="dxa"/>
            </w:tcMar>
            <w:shd w:fill="F2F4F7"/>
          </w:tcPr>
          <w:p>
            <w:r/>
            <w:r>
              <w:rPr>
                <w:rFonts w:ascii="Arial" w:hAnsi="Arial"/>
                <w:b w:val="0"/>
                <w:color w:val="1F2937"/>
                <w:sz w:val="16"/>
              </w:rPr>
              <w:t>Operations and Support</w:t>
            </w:r>
          </w:p>
        </w:tc>
        <w:tc>
          <w:tcPr>
            <w:tcW w:type="dxa" w:w="7200"/>
            <w:vAlign w:val="center"/>
            <w:tcMar>
              <w:top w:w="80" w:type="dxa"/>
              <w:start w:w="80" w:type="dxa"/>
              <w:bottom w:w="80" w:type="dxa"/>
              <w:end w:w="80" w:type="dxa"/>
            </w:tcMar>
            <w:shd w:fill="F2F4F7"/>
          </w:tcPr>
          <w:p>
            <w:r/>
            <w:r>
              <w:rPr>
                <w:rFonts w:ascii="Arial" w:hAnsi="Arial"/>
                <w:b w:val="0"/>
                <w:color w:val="1F2937"/>
                <w:sz w:val="16"/>
              </w:rPr>
              <w:t>Hosting, monitoring, backups, releases, support, status and continuity.</w:t>
            </w:r>
          </w:p>
        </w:tc>
      </w:tr>
      <w:tr>
        <w:trPr>
          <w:cantSplit/>
        </w:trPr>
        <w:tc>
          <w:tcPr>
            <w:tcW w:type="dxa" w:w="2448"/>
            <w:vAlign w:val="center"/>
            <w:tcMar>
              <w:top w:w="80" w:type="dxa"/>
              <w:start w:w="80" w:type="dxa"/>
              <w:bottom w:w="80" w:type="dxa"/>
              <w:end w:w="80" w:type="dxa"/>
            </w:tcMar>
          </w:tcPr>
          <w:p>
            <w:r/>
            <w:r>
              <w:rPr>
                <w:rFonts w:ascii="Arial" w:hAnsi="Arial"/>
                <w:b w:val="0"/>
                <w:color w:val="1F2937"/>
                <w:sz w:val="16"/>
              </w:rPr>
              <w:t>Digital Hub Academy</w:t>
            </w:r>
          </w:p>
        </w:tc>
        <w:tc>
          <w:tcPr>
            <w:tcW w:type="dxa" w:w="7200"/>
            <w:vAlign w:val="center"/>
            <w:tcMar>
              <w:top w:w="80" w:type="dxa"/>
              <w:start w:w="80" w:type="dxa"/>
              <w:bottom w:w="80" w:type="dxa"/>
              <w:end w:w="80" w:type="dxa"/>
            </w:tcMar>
          </w:tcPr>
          <w:p>
            <w:r/>
            <w:r>
              <w:rPr>
                <w:rFonts w:ascii="Arial" w:hAnsi="Arial"/>
                <w:b w:val="0"/>
                <w:color w:val="1F2937"/>
                <w:sz w:val="16"/>
              </w:rPr>
              <w:t>Curriculum, labs, instructors, learner safety, assessment and certificates.</w:t>
            </w:r>
          </w:p>
        </w:tc>
      </w:tr>
    </w:tbl>
    <w:p>
      <w:pPr>
        <w:pStyle w:val="Heading1"/>
      </w:pPr>
      <w:r>
        <w:t>11. Phased implementation</w:t>
      </w:r>
    </w:p>
    <w:p>
      <w:pPr>
        <w:pStyle w:val="ListNumber"/>
      </w:pPr>
      <w:r>
        <w:t>Ratify domain and product ownership, legal facts, release authorities and the controlled architecture.</w:t>
      </w:r>
    </w:p>
    <w:p>
      <w:pPr>
        <w:pStyle w:val="ListNumber"/>
      </w:pPr>
      <w:r>
        <w:t>Operate RME 0.3 Configuration Centre for typed manual inputs, protected secrets, evidence and feature activation.</w:t>
      </w:r>
    </w:p>
    <w:p>
      <w:pPr>
        <w:pStyle w:val="ListNumber"/>
      </w:pPr>
      <w:r>
        <w:t>Maintain the Sites/D1 ecosystem foundation and commission Sentinel v0.2.0-alpha only in an approved staging environment.</w:t>
      </w:r>
    </w:p>
    <w:p>
      <w:pPr>
        <w:pStyle w:val="ListNumber"/>
      </w:pPr>
      <w:r>
        <w:t>Commission the RAHIS v8.3 candidate: v8.1 core, v8.2 Paystack test adapter and disabled v8.2 Sentinel overlay.</w:t>
      </w:r>
    </w:p>
    <w:p>
      <w:pPr>
        <w:pStyle w:val="ListNumber"/>
      </w:pPr>
      <w:r>
        <w:t>Register and test restricted collectors, OTA/payment/hardware providers and approved external adapters.</w:t>
      </w:r>
    </w:p>
    <w:p>
      <w:pPr>
        <w:pStyle w:val="ListNumber"/>
      </w:pPr>
      <w:r>
        <w:t>Commercialise editions, Academy programmes and managed services only after applicable acceptance and support gates pass.</w:t>
      </w:r>
    </w:p>
    <w:p>
      <w:pPr>
        <w:pStyle w:val="ListNumber"/>
      </w:pPr>
      <w:r>
        <w:t>Migrate workload components as measured capacity and reliability triggers require.</w:t>
      </w:r>
    </w:p>
    <w:p>
      <w:pPr>
        <w:pStyle w:val="Heading1"/>
      </w:pPr>
      <w:r>
        <w:t>12. Controlled status</w:t>
      </w:r>
    </w:p>
    <w:p>
      <w:pPr>
        <w:pStyle w:val="RiskCallout"/>
      </w:pPr>
      <w:r>
        <w:t>This architecture is the controlled release direction; it is not evidence that all public identifiers, provider connectors, live payments, analytics/search/advertising accounts, collectors, hardware or managed security operations are commissioned. Every surface requires registered assets, credentials, contracts, tests, privacy/security review, approval, monitoring and rollback evidence.</w:t>
      </w:r>
    </w:p>
    <w:p>
      <w:pPr>
        <w:jc w:val="center"/>
      </w:pPr>
      <w:r>
        <w:rPr>
          <w:b/>
          <w:color w:val="12233F"/>
          <w:sz w:val="16"/>
        </w:rPr>
        <w:t xml:space="preserve">Built and Developed by Rihuum Intercontinental Limited | </w:t>
      </w:r>
      <w:hyperlink r:id="rId12">
        <w:r>
          <w:rPr>
            <w:color w:val="B88A22"/>
            <w:u w:val="single"/>
            <w:rFonts w:ascii="Arial" w:hAnsi="Arial"/>
          </w:rPr>
          <w:t>www.rihuum.tech</w:t>
        </w:r>
      </w:hyperlink>
    </w:p>
    <w:p>
      <w:pPr>
        <w:pStyle w:val="Heading1"/>
      </w:pPr>
      <w:r>
        <w:t>13. Current controlled release matrix</w:t>
      </w:r>
    </w:p>
    <w:p>
      <w:pPr>
        <w:pStyle w:val="LeadCallout"/>
      </w:pPr>
      <w:r>
        <w:t>Release truth: Version numbers identify controlled product components; they do not by themselves prove provider commissioning, customer acceptance or general availability.</w:t>
      </w:r>
    </w:p>
    <w:tbl>
      <w:tblPr>
        <w:tblStyle w:val="TableGrid"/>
        <w:tblW w:type="dxa" w:w="10166"/>
        <w:jc w:val="center"/>
        <w:tblLayout w:type="fixed"/>
        <w:tblLook w:firstColumn="1" w:firstRow="1" w:lastColumn="0" w:lastRow="0" w:noHBand="0" w:noVBand="1" w:val="04A0"/>
        <w:tblInd w:w="120" w:type="dxa"/>
      </w:tblPr>
      <w:tblGrid>
        <w:gridCol w:w="2300"/>
        <w:gridCol w:w="3700"/>
        <w:gridCol w:w="4166"/>
      </w:tblGrid>
      <w:tr>
        <w:trPr>
          <w:tblHeader w:val="true"/>
        </w:trPr>
        <w:tc>
          <w:tcPr>
            <w:tcW w:type="dxa" w:w="2300"/>
            <w:shd w:fill="142946" w:val="clear"/>
            <w:tcMar>
              <w:top w:w="90" w:type="dxa"/>
              <w:start w:w="100" w:type="dxa"/>
              <w:bottom w:w="90" w:type="dxa"/>
              <w:end w:w="100" w:type="dxa"/>
            </w:tcMar>
            <w:vAlign w:val="center"/>
          </w:tcPr>
          <w:p>
            <w:pPr>
              <w:spacing w:after="0"/>
              <w:jc w:val="left"/>
            </w:pPr>
            <w:r>
              <w:rPr>
                <w:b/>
                <w:color w:val="FFFFFF"/>
                <w:sz w:val="17"/>
              </w:rPr>
              <w:t>Component</w:t>
            </w:r>
          </w:p>
        </w:tc>
        <w:tc>
          <w:tcPr>
            <w:tcW w:type="dxa" w:w="3700"/>
            <w:shd w:fill="142946" w:val="clear"/>
            <w:tcMar>
              <w:top w:w="90" w:type="dxa"/>
              <w:start w:w="100" w:type="dxa"/>
              <w:bottom w:w="90" w:type="dxa"/>
              <w:end w:w="100" w:type="dxa"/>
            </w:tcMar>
            <w:vAlign w:val="center"/>
          </w:tcPr>
          <w:p>
            <w:pPr>
              <w:spacing w:after="0"/>
              <w:jc w:val="left"/>
            </w:pPr>
            <w:r>
              <w:rPr>
                <w:b/>
                <w:color w:val="FFFFFF"/>
                <w:sz w:val="17"/>
              </w:rPr>
              <w:t>Controlled baseline</w:t>
            </w:r>
          </w:p>
        </w:tc>
        <w:tc>
          <w:tcPr>
            <w:tcW w:type="dxa" w:w="4166"/>
            <w:shd w:fill="142946" w:val="clear"/>
            <w:tcMar>
              <w:top w:w="90" w:type="dxa"/>
              <w:start w:w="100" w:type="dxa"/>
              <w:bottom w:w="90" w:type="dxa"/>
              <w:end w:w="100" w:type="dxa"/>
            </w:tcMar>
            <w:vAlign w:val="center"/>
          </w:tcPr>
          <w:p>
            <w:pPr>
              <w:spacing w:after="0"/>
              <w:jc w:val="left"/>
            </w:pPr>
            <w:r>
              <w:rPr>
                <w:b/>
                <w:color w:val="FFFFFF"/>
                <w:sz w:val="17"/>
              </w:rPr>
              <w:t>Current boundary</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Digital Ecosystem</w:t>
            </w:r>
          </w:p>
        </w:tc>
        <w:tc>
          <w:tcPr>
            <w:tcW w:type="dxa" w:w="3700"/>
            <w:tcMar>
              <w:top w:w="90" w:type="dxa"/>
              <w:start w:w="100" w:type="dxa"/>
              <w:bottom w:w="90" w:type="dxa"/>
              <w:end w:w="100" w:type="dxa"/>
            </w:tcMar>
            <w:vAlign w:val="center"/>
          </w:tcPr>
          <w:p>
            <w:pPr>
              <w:spacing w:after="0" w:line="252" w:lineRule="auto"/>
            </w:pPr>
            <w:r>
              <w:rPr>
                <w:sz w:val="17"/>
              </w:rPr>
              <w:t>OpenAI Sites application delivery + D1 controlled data</w:t>
            </w:r>
          </w:p>
        </w:tc>
        <w:tc>
          <w:tcPr>
            <w:tcW w:type="dxa" w:w="4166"/>
            <w:tcMar>
              <w:top w:w="90" w:type="dxa"/>
              <w:start w:w="100" w:type="dxa"/>
              <w:bottom w:w="90" w:type="dxa"/>
              <w:end w:w="100" w:type="dxa"/>
            </w:tcMar>
            <w:vAlign w:val="center"/>
          </w:tcPr>
          <w:p>
            <w:pPr>
              <w:spacing w:after="0" w:line="252" w:lineRule="auto"/>
            </w:pPr>
            <w:r>
              <w:rPr>
                <w:sz w:val="17"/>
              </w:rPr>
              <w:t>Namecheap remains DNS/email; deployment evidence is release-controlled.</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RME</w:t>
            </w:r>
          </w:p>
        </w:tc>
        <w:tc>
          <w:tcPr>
            <w:tcW w:type="dxa" w:w="3700"/>
            <w:shd w:fill="F7F9FC" w:val="clear"/>
            <w:tcMar>
              <w:top w:w="90" w:type="dxa"/>
              <w:start w:w="100" w:type="dxa"/>
              <w:bottom w:w="90" w:type="dxa"/>
              <w:end w:w="100" w:type="dxa"/>
            </w:tcMar>
            <w:vAlign w:val="center"/>
          </w:tcPr>
          <w:p>
            <w:pPr>
              <w:spacing w:after="0" w:line="252" w:lineRule="auto"/>
            </w:pPr>
            <w:r>
              <w:rPr>
                <w:sz w:val="17"/>
              </w:rPr>
              <w:t>0.3 Configuration Centre</w:t>
            </w:r>
          </w:p>
        </w:tc>
        <w:tc>
          <w:tcPr>
            <w:tcW w:type="dxa" w:w="4166"/>
            <w:shd w:fill="F7F9FC" w:val="clear"/>
            <w:tcMar>
              <w:top w:w="90" w:type="dxa"/>
              <w:start w:w="100" w:type="dxa"/>
              <w:bottom w:w="90" w:type="dxa"/>
              <w:end w:w="100" w:type="dxa"/>
            </w:tcMar>
            <w:vAlign w:val="center"/>
          </w:tcPr>
          <w:p>
            <w:pPr>
              <w:spacing w:after="0" w:line="252" w:lineRule="auto"/>
            </w:pPr>
            <w:r>
              <w:rPr>
                <w:sz w:val="17"/>
              </w:rPr>
              <w:t>Manual public configuration and activation evidence; secrets stay server-side.</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Rihuum OS</w:t>
            </w:r>
          </w:p>
        </w:tc>
        <w:tc>
          <w:tcPr>
            <w:tcW w:type="dxa" w:w="3700"/>
            <w:tcMar>
              <w:top w:w="90" w:type="dxa"/>
              <w:start w:w="100" w:type="dxa"/>
              <w:bottom w:w="90" w:type="dxa"/>
              <w:end w:w="100" w:type="dxa"/>
            </w:tcMar>
            <w:vAlign w:val="center"/>
          </w:tcPr>
          <w:p>
            <w:pPr>
              <w:spacing w:after="0" w:line="252" w:lineRule="auto"/>
            </w:pPr>
            <w:r>
              <w:rPr>
                <w:sz w:val="17"/>
              </w:rPr>
              <w:t>RME-powered operating experience</w:t>
            </w:r>
          </w:p>
        </w:tc>
        <w:tc>
          <w:tcPr>
            <w:tcW w:type="dxa" w:w="4166"/>
            <w:tcMar>
              <w:top w:w="90" w:type="dxa"/>
              <w:start w:w="100" w:type="dxa"/>
              <w:bottom w:w="90" w:type="dxa"/>
              <w:end w:w="100" w:type="dxa"/>
            </w:tcMar>
            <w:vAlign w:val="center"/>
          </w:tcPr>
          <w:p>
            <w:pPr>
              <w:spacing w:after="0" w:line="252" w:lineRule="auto"/>
            </w:pPr>
            <w:r>
              <w:rPr>
                <w:sz w:val="17"/>
              </w:rPr>
              <w:t>Not a replacement desktop/mobile operating system.</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RAHIS core</w:t>
            </w:r>
          </w:p>
        </w:tc>
        <w:tc>
          <w:tcPr>
            <w:tcW w:type="dxa" w:w="3700"/>
            <w:shd w:fill="F7F9FC" w:val="clear"/>
            <w:tcMar>
              <w:top w:w="90" w:type="dxa"/>
              <w:start w:w="100" w:type="dxa"/>
              <w:bottom w:w="90" w:type="dxa"/>
              <w:end w:w="100" w:type="dxa"/>
            </w:tcMar>
            <w:vAlign w:val="center"/>
          </w:tcPr>
          <w:p>
            <w:pPr>
              <w:spacing w:after="0" w:line="252" w:lineRule="auto"/>
            </w:pPr>
            <w:r>
              <w:rPr>
                <w:sz w:val="17"/>
              </w:rPr>
              <w:t>v8.1 operating core</w:t>
            </w:r>
          </w:p>
        </w:tc>
        <w:tc>
          <w:tcPr>
            <w:tcW w:type="dxa" w:w="4166"/>
            <w:shd w:fill="F7F9FC" w:val="clear"/>
            <w:tcMar>
              <w:top w:w="90" w:type="dxa"/>
              <w:start w:w="100" w:type="dxa"/>
              <w:bottom w:w="90" w:type="dxa"/>
              <w:end w:w="100" w:type="dxa"/>
            </w:tcMar>
            <w:vAlign w:val="center"/>
          </w:tcPr>
          <w:p>
            <w:pPr>
              <w:spacing w:after="0" w:line="252" w:lineRule="auto"/>
            </w:pPr>
            <w:r>
              <w:rPr>
                <w:sz w:val="17"/>
              </w:rPr>
              <w:t>Controlled operating workflows; provider and hotel acceptance remain distinct.</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RAHIS payments</w:t>
            </w:r>
          </w:p>
        </w:tc>
        <w:tc>
          <w:tcPr>
            <w:tcW w:type="dxa" w:w="3700"/>
            <w:tcMar>
              <w:top w:w="90" w:type="dxa"/>
              <w:start w:w="100" w:type="dxa"/>
              <w:bottom w:w="90" w:type="dxa"/>
              <w:end w:w="100" w:type="dxa"/>
            </w:tcMar>
            <w:vAlign w:val="center"/>
          </w:tcPr>
          <w:p>
            <w:pPr>
              <w:spacing w:after="0" w:line="252" w:lineRule="auto"/>
            </w:pPr>
            <w:r>
              <w:rPr>
                <w:sz w:val="17"/>
              </w:rPr>
              <w:t>v8.2 Paystack test/sandbox adapter</w:t>
            </w:r>
          </w:p>
        </w:tc>
        <w:tc>
          <w:tcPr>
            <w:tcW w:type="dxa" w:w="4166"/>
            <w:tcMar>
              <w:top w:w="90" w:type="dxa"/>
              <w:start w:w="100" w:type="dxa"/>
              <w:bottom w:w="90" w:type="dxa"/>
              <w:end w:w="100" w:type="dxa"/>
            </w:tcMar>
            <w:vAlign w:val="center"/>
          </w:tcPr>
          <w:p>
            <w:pPr>
              <w:spacing w:after="0" w:line="252" w:lineRule="auto"/>
            </w:pPr>
            <w:r>
              <w:rPr>
                <w:sz w:val="17"/>
              </w:rPr>
              <w:t>No live processing until production account, credentials, webhook, settlement and approval tests pass.</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RAHIS security</w:t>
            </w:r>
          </w:p>
        </w:tc>
        <w:tc>
          <w:tcPr>
            <w:tcW w:type="dxa" w:w="3700"/>
            <w:shd w:fill="F7F9FC" w:val="clear"/>
            <w:tcMar>
              <w:top w:w="90" w:type="dxa"/>
              <w:start w:w="100" w:type="dxa"/>
              <w:bottom w:w="90" w:type="dxa"/>
              <w:end w:w="100" w:type="dxa"/>
            </w:tcMar>
            <w:vAlign w:val="center"/>
          </w:tcPr>
          <w:p>
            <w:pPr>
              <w:spacing w:after="0" w:line="252" w:lineRule="auto"/>
            </w:pPr>
            <w:r>
              <w:rPr>
                <w:sz w:val="17"/>
              </w:rPr>
              <w:t>v8.2 Sentinel overlay</w:t>
            </w:r>
          </w:p>
        </w:tc>
        <w:tc>
          <w:tcPr>
            <w:tcW w:type="dxa" w:w="4166"/>
            <w:shd w:fill="F7F9FC" w:val="clear"/>
            <w:tcMar>
              <w:top w:w="90" w:type="dxa"/>
              <w:start w:w="100" w:type="dxa"/>
              <w:bottom w:w="90" w:type="dxa"/>
              <w:end w:w="100" w:type="dxa"/>
            </w:tcMar>
            <w:vAlign w:val="center"/>
          </w:tcPr>
          <w:p>
            <w:pPr>
              <w:spacing w:after="0" w:line="252" w:lineRule="auto"/>
            </w:pPr>
            <w:r>
              <w:rPr>
                <w:sz w:val="17"/>
              </w:rPr>
              <w:t>Disabled-by-default, signed, property-scoped and non-authoritative.</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RAHIS consolidated</w:t>
            </w:r>
          </w:p>
        </w:tc>
        <w:tc>
          <w:tcPr>
            <w:tcW w:type="dxa" w:w="3700"/>
            <w:tcMar>
              <w:top w:w="90" w:type="dxa"/>
              <w:start w:w="100" w:type="dxa"/>
              <w:bottom w:w="90" w:type="dxa"/>
              <w:end w:w="100" w:type="dxa"/>
            </w:tcMar>
            <w:vAlign w:val="center"/>
          </w:tcPr>
          <w:p>
            <w:pPr>
              <w:spacing w:after="0" w:line="252" w:lineRule="auto"/>
            </w:pPr>
            <w:r>
              <w:rPr>
                <w:sz w:val="17"/>
              </w:rPr>
              <w:t>v8.3.0 integration candidate</w:t>
            </w:r>
          </w:p>
        </w:tc>
        <w:tc>
          <w:tcPr>
            <w:tcW w:type="dxa" w:w="4166"/>
            <w:tcMar>
              <w:top w:w="90" w:type="dxa"/>
              <w:start w:w="100" w:type="dxa"/>
              <w:bottom w:w="90" w:type="dxa"/>
              <w:end w:w="100" w:type="dxa"/>
            </w:tcMar>
            <w:vAlign w:val="center"/>
          </w:tcPr>
          <w:p>
            <w:pPr>
              <w:spacing w:after="0" w:line="252" w:lineRule="auto"/>
            </w:pPr>
            <w:r>
              <w:rPr>
                <w:sz w:val="17"/>
              </w:rPr>
              <w:t>Product/BOM consolidation; not a claim that all components are live.</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Sentinel AI</w:t>
            </w:r>
          </w:p>
        </w:tc>
        <w:tc>
          <w:tcPr>
            <w:tcW w:type="dxa" w:w="3700"/>
            <w:shd w:fill="F7F9FC" w:val="clear"/>
            <w:tcMar>
              <w:top w:w="90" w:type="dxa"/>
              <w:start w:w="100" w:type="dxa"/>
              <w:bottom w:w="90" w:type="dxa"/>
              <w:end w:w="100" w:type="dxa"/>
            </w:tcMar>
            <w:vAlign w:val="center"/>
          </w:tcPr>
          <w:p>
            <w:pPr>
              <w:spacing w:after="0" w:line="252" w:lineRule="auto"/>
            </w:pPr>
            <w:r>
              <w:rPr>
                <w:sz w:val="17"/>
              </w:rPr>
              <w:t>v0.2.0-alpha PHP/MySQL package</w:t>
            </w:r>
          </w:p>
        </w:tc>
        <w:tc>
          <w:tcPr>
            <w:tcW w:type="dxa" w:w="4166"/>
            <w:shd w:fill="F7F9FC" w:val="clear"/>
            <w:tcMar>
              <w:top w:w="90" w:type="dxa"/>
              <w:start w:w="100" w:type="dxa"/>
              <w:bottom w:w="90" w:type="dxa"/>
              <w:end w:w="100" w:type="dxa"/>
            </w:tcMar>
            <w:vAlign w:val="center"/>
          </w:tcPr>
          <w:p>
            <w:pPr>
              <w:spacing w:after="0" w:line="252" w:lineRule="auto"/>
            </w:pPr>
            <w:r>
              <w:rPr>
                <w:sz w:val="17"/>
              </w:rPr>
              <w:t>Engineering alpha and staging candidate; production gates remain open.</w:t>
            </w:r>
          </w:p>
        </w:tc>
      </w:tr>
    </w:tbl>
    <w:p/>
    <w:p>
      <w:pPr>
        <w:pStyle w:val="Heading1"/>
      </w:pPr>
      <w:r>
        <w:t>14. RME 0.3 Configuration Centre</w:t>
      </w:r>
    </w:p>
    <w:p>
      <w:pPr>
        <w:pStyle w:val="ListBullet"/>
      </w:pPr>
      <w:r>
        <w:t>Provides typed manual fields for public IDs, provider references, canonical URLs, business facts, feature state and activation evidence.</w:t>
      </w:r>
    </w:p>
    <w:p>
      <w:pPr>
        <w:pStyle w:val="ListBullet"/>
      </w:pPr>
      <w:r>
        <w:t>Stores no secret in the browser, source repository, public document or ordinary audit payload; protected credentials use server-side encrypted configuration or an approved vault.</w:t>
      </w:r>
    </w:p>
    <w:p>
      <w:pPr>
        <w:pStyle w:val="ListBullet"/>
      </w:pPr>
      <w:r>
        <w:t>Separates development, test/sandbox, staging and production values, owners and approval states.</w:t>
      </w:r>
    </w:p>
    <w:p>
      <w:pPr>
        <w:pStyle w:val="ListBullet"/>
      </w:pPr>
      <w:r>
        <w:t>Requires source, classification, verification, effective date, test result, monitor, rotation and rollback/deactivation record.</w:t>
      </w:r>
    </w:p>
    <w:p>
      <w:pPr>
        <w:pStyle w:val="ListBullet"/>
      </w:pPr>
      <w:r>
        <w:t>Unknown values remain visibly unconfigured; placeholders can never silently become production values.</w:t>
      </w:r>
    </w:p>
    <w:p>
      <w:pPr>
        <w:pStyle w:val="ListBullet"/>
      </w:pPr>
      <w:r>
        <w:t>Supports future adapters through versioned schemas rather than hard-coded provider logic.</w:t>
      </w:r>
    </w:p>
    <w:p>
      <w:pPr>
        <w:pStyle w:val="Heading1"/>
      </w:pPr>
      <w:r>
        <w:t>15. External configuration and activation register</w:t>
      </w:r>
    </w:p>
    <w:tbl>
      <w:tblPr>
        <w:tblStyle w:val="TableGrid"/>
        <w:tblW w:type="dxa" w:w="10166"/>
        <w:jc w:val="center"/>
        <w:tblLayout w:type="fixed"/>
        <w:tblLook w:firstColumn="1" w:firstRow="1" w:lastColumn="0" w:lastRow="0" w:noHBand="0" w:noVBand="1" w:val="04A0"/>
        <w:tblInd w:w="120" w:type="dxa"/>
      </w:tblPr>
      <w:tblGrid>
        <w:gridCol w:w="2300"/>
        <w:gridCol w:w="3000"/>
        <w:gridCol w:w="4866"/>
      </w:tblGrid>
      <w:tr>
        <w:trPr>
          <w:tblHeader w:val="true"/>
        </w:trPr>
        <w:tc>
          <w:tcPr>
            <w:tcW w:type="dxa" w:w="2300"/>
            <w:shd w:fill="142946" w:val="clear"/>
            <w:tcMar>
              <w:top w:w="90" w:type="dxa"/>
              <w:start w:w="100" w:type="dxa"/>
              <w:bottom w:w="90" w:type="dxa"/>
              <w:end w:w="100" w:type="dxa"/>
            </w:tcMar>
            <w:vAlign w:val="center"/>
          </w:tcPr>
          <w:p>
            <w:pPr>
              <w:spacing w:after="0"/>
              <w:jc w:val="left"/>
            </w:pPr>
            <w:r>
              <w:rPr>
                <w:b/>
                <w:color w:val="FFFFFF"/>
                <w:sz w:val="17"/>
              </w:rPr>
              <w:t>Configuration family</w:t>
            </w:r>
          </w:p>
        </w:tc>
        <w:tc>
          <w:tcPr>
            <w:tcW w:type="dxa" w:w="3000"/>
            <w:shd w:fill="142946" w:val="clear"/>
            <w:tcMar>
              <w:top w:w="90" w:type="dxa"/>
              <w:start w:w="100" w:type="dxa"/>
              <w:bottom w:w="90" w:type="dxa"/>
              <w:end w:w="100" w:type="dxa"/>
            </w:tcMar>
            <w:vAlign w:val="center"/>
          </w:tcPr>
          <w:p>
            <w:pPr>
              <w:spacing w:after="0"/>
              <w:jc w:val="left"/>
            </w:pPr>
            <w:r>
              <w:rPr>
                <w:b/>
                <w:color w:val="FFFFFF"/>
                <w:sz w:val="17"/>
              </w:rPr>
              <w:t>Confirmed now</w:t>
            </w:r>
          </w:p>
        </w:tc>
        <w:tc>
          <w:tcPr>
            <w:tcW w:type="dxa" w:w="4866"/>
            <w:shd w:fill="142946" w:val="clear"/>
            <w:tcMar>
              <w:top w:w="90" w:type="dxa"/>
              <w:start w:w="100" w:type="dxa"/>
              <w:bottom w:w="90" w:type="dxa"/>
              <w:end w:w="100" w:type="dxa"/>
            </w:tcMar>
            <w:vAlign w:val="center"/>
          </w:tcPr>
          <w:p>
            <w:pPr>
              <w:spacing w:after="0"/>
              <w:jc w:val="left"/>
            </w:pPr>
            <w:r>
              <w:rPr>
                <w:b/>
                <w:color w:val="FFFFFF"/>
                <w:sz w:val="17"/>
              </w:rPr>
              <w:t>Manual input / activation gate</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Analytics</w:t>
            </w:r>
          </w:p>
        </w:tc>
        <w:tc>
          <w:tcPr>
            <w:tcW w:type="dxa" w:w="3000"/>
            <w:tcMar>
              <w:top w:w="90" w:type="dxa"/>
              <w:start w:w="100" w:type="dxa"/>
              <w:bottom w:w="90" w:type="dxa"/>
              <w:end w:w="100" w:type="dxa"/>
            </w:tcMar>
            <w:vAlign w:val="center"/>
          </w:tcPr>
          <w:p>
            <w:pPr>
              <w:spacing w:after="0" w:line="252" w:lineRule="auto"/>
            </w:pPr>
            <w:r>
              <w:rPr>
                <w:sz w:val="17"/>
              </w:rPr>
              <w:t>GA4 G-CLFV1L0KVJ for rihuum.tech</w:t>
            </w:r>
          </w:p>
        </w:tc>
        <w:tc>
          <w:tcPr>
            <w:tcW w:type="dxa" w:w="4866"/>
            <w:tcMar>
              <w:top w:w="90" w:type="dxa"/>
              <w:start w:w="100" w:type="dxa"/>
              <w:bottom w:w="90" w:type="dxa"/>
              <w:end w:w="100" w:type="dxa"/>
            </w:tcMar>
            <w:vAlign w:val="center"/>
          </w:tcPr>
          <w:p>
            <w:pPr>
              <w:spacing w:after="0" w:line="252" w:lineRule="auto"/>
            </w:pPr>
            <w:r>
              <w:rPr>
                <w:sz w:val="17"/>
              </w:rPr>
              <w:t>GA4 for .com/.net; GTM; consent and production validation.</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Search</w:t>
            </w:r>
          </w:p>
        </w:tc>
        <w:tc>
          <w:tcPr>
            <w:tcW w:type="dxa" w:w="3000"/>
            <w:shd w:fill="F7F9FC" w:val="clear"/>
            <w:tcMar>
              <w:top w:w="90" w:type="dxa"/>
              <w:start w:w="100" w:type="dxa"/>
              <w:bottom w:w="90" w:type="dxa"/>
              <w:end w:w="100" w:type="dxa"/>
            </w:tcMar>
            <w:vAlign w:val="center"/>
          </w:tcPr>
          <w:p>
            <w:pPr>
              <w:spacing w:after="0" w:line="252" w:lineRule="auto"/>
            </w:pPr>
            <w:r>
              <w:rPr>
                <w:sz w:val="17"/>
              </w:rPr>
              <w:t>Domain ownership/DNS capability</w:t>
            </w:r>
          </w:p>
        </w:tc>
        <w:tc>
          <w:tcPr>
            <w:tcW w:type="dxa" w:w="4866"/>
            <w:shd w:fill="F7F9FC" w:val="clear"/>
            <w:tcMar>
              <w:top w:w="90" w:type="dxa"/>
              <w:start w:w="100" w:type="dxa"/>
              <w:bottom w:w="90" w:type="dxa"/>
              <w:end w:w="100" w:type="dxa"/>
            </w:tcMar>
            <w:vAlign w:val="center"/>
          </w:tcPr>
          <w:p>
            <w:pPr>
              <w:spacing w:after="0" w:line="252" w:lineRule="auto"/>
            </w:pPr>
            <w:r>
              <w:rPr>
                <w:sz w:val="17"/>
              </w:rPr>
              <w:t>Search Console, Bing/Yandex where adopted, sitemap submission and index verification.</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Advertising</w:t>
            </w:r>
          </w:p>
        </w:tc>
        <w:tc>
          <w:tcPr>
            <w:tcW w:type="dxa" w:w="3000"/>
            <w:tcMar>
              <w:top w:w="90" w:type="dxa"/>
              <w:start w:w="100" w:type="dxa"/>
              <w:bottom w:w="90" w:type="dxa"/>
              <w:end w:w="100" w:type="dxa"/>
            </w:tcMar>
            <w:vAlign w:val="center"/>
          </w:tcPr>
          <w:p>
            <w:pPr>
              <w:spacing w:after="0" w:line="252" w:lineRule="auto"/>
            </w:pPr>
            <w:r>
              <w:rPr>
                <w:sz w:val="17"/>
              </w:rPr>
              <w:t>No production activation claimed</w:t>
            </w:r>
          </w:p>
        </w:tc>
        <w:tc>
          <w:tcPr>
            <w:tcW w:type="dxa" w:w="4866"/>
            <w:tcMar>
              <w:top w:w="90" w:type="dxa"/>
              <w:start w:w="100" w:type="dxa"/>
              <w:bottom w:w="90" w:type="dxa"/>
              <w:end w:w="100" w:type="dxa"/>
            </w:tcMar>
            <w:vAlign w:val="center"/>
          </w:tcPr>
          <w:p>
            <w:pPr>
              <w:spacing w:after="0" w:line="252" w:lineRule="auto"/>
            </w:pPr>
            <w:r>
              <w:rPr>
                <w:sz w:val="17"/>
              </w:rPr>
              <w:t>Approved AdSense publisher ID, seller/ads.txt data, consent, policy and content eligibility.</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Maps/location</w:t>
            </w:r>
          </w:p>
        </w:tc>
        <w:tc>
          <w:tcPr>
            <w:tcW w:type="dxa" w:w="3000"/>
            <w:shd w:fill="F7F9FC" w:val="clear"/>
            <w:tcMar>
              <w:top w:w="90" w:type="dxa"/>
              <w:start w:w="100" w:type="dxa"/>
              <w:bottom w:w="90" w:type="dxa"/>
              <w:end w:w="100" w:type="dxa"/>
            </w:tcMar>
            <w:vAlign w:val="center"/>
          </w:tcPr>
          <w:p>
            <w:pPr>
              <w:spacing w:after="0" w:line="252" w:lineRule="auto"/>
            </w:pPr>
            <w:r>
              <w:rPr>
                <w:sz w:val="17"/>
              </w:rPr>
              <w:t>Registered locality: Abuja, Nigeria</w:t>
            </w:r>
          </w:p>
        </w:tc>
        <w:tc>
          <w:tcPr>
            <w:tcW w:type="dxa" w:w="4866"/>
            <w:shd w:fill="F7F9FC" w:val="clear"/>
            <w:tcMar>
              <w:top w:w="90" w:type="dxa"/>
              <w:start w:w="100" w:type="dxa"/>
              <w:bottom w:w="90" w:type="dxa"/>
              <w:end w:w="100" w:type="dxa"/>
            </w:tcMar>
            <w:vAlign w:val="center"/>
          </w:tcPr>
          <w:p>
            <w:pPr>
              <w:spacing w:after="0" w:line="252" w:lineRule="auto"/>
            </w:pPr>
            <w:r>
              <w:rPr>
                <w:sz w:val="17"/>
              </w:rPr>
              <w:t>Exact public street address, Place ID, API key, hours, pin and publication approval.</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Payments</w:t>
            </w:r>
          </w:p>
        </w:tc>
        <w:tc>
          <w:tcPr>
            <w:tcW w:type="dxa" w:w="3000"/>
            <w:tcMar>
              <w:top w:w="90" w:type="dxa"/>
              <w:start w:w="100" w:type="dxa"/>
              <w:bottom w:w="90" w:type="dxa"/>
              <w:end w:w="100" w:type="dxa"/>
            </w:tcMar>
            <w:vAlign w:val="center"/>
          </w:tcPr>
          <w:p>
            <w:pPr>
              <w:spacing w:after="0" w:line="252" w:lineRule="auto"/>
            </w:pPr>
            <w:r>
              <w:rPr>
                <w:sz w:val="17"/>
              </w:rPr>
              <w:t>RAHIS Paystack test/sandbox component</w:t>
            </w:r>
          </w:p>
        </w:tc>
        <w:tc>
          <w:tcPr>
            <w:tcW w:type="dxa" w:w="4866"/>
            <w:tcMar>
              <w:top w:w="90" w:type="dxa"/>
              <w:start w:w="100" w:type="dxa"/>
              <w:bottom w:w="90" w:type="dxa"/>
              <w:end w:w="100" w:type="dxa"/>
            </w:tcMar>
            <w:vAlign w:val="center"/>
          </w:tcPr>
          <w:p>
            <w:pPr>
              <w:spacing w:after="0" w:line="252" w:lineRule="auto"/>
            </w:pPr>
            <w:r>
              <w:rPr>
                <w:sz w:val="17"/>
              </w:rPr>
              <w:t>Registered production merchant, public key, protected secret, webhook, settlement/refund/dispute UAT and finance approval.</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OTA/CRS</w:t>
            </w:r>
          </w:p>
        </w:tc>
        <w:tc>
          <w:tcPr>
            <w:tcW w:type="dxa" w:w="3000"/>
            <w:shd w:fill="F7F9FC" w:val="clear"/>
            <w:tcMar>
              <w:top w:w="90" w:type="dxa"/>
              <w:start w:w="100" w:type="dxa"/>
              <w:bottom w:w="90" w:type="dxa"/>
              <w:end w:w="100" w:type="dxa"/>
            </w:tcMar>
            <w:vAlign w:val="center"/>
          </w:tcPr>
          <w:p>
            <w:pPr>
              <w:spacing w:after="0" w:line="252" w:lineRule="auto"/>
            </w:pPr>
            <w:r>
              <w:rPr>
                <w:sz w:val="17"/>
              </w:rPr>
              <w:t>Manual connector architecture</w:t>
            </w:r>
          </w:p>
        </w:tc>
        <w:tc>
          <w:tcPr>
            <w:tcW w:type="dxa" w:w="4866"/>
            <w:shd w:fill="F7F9FC" w:val="clear"/>
            <w:tcMar>
              <w:top w:w="90" w:type="dxa"/>
              <w:start w:w="100" w:type="dxa"/>
              <w:bottom w:w="90" w:type="dxa"/>
              <w:end w:w="100" w:type="dxa"/>
            </w:tcMar>
            <w:vAlign w:val="center"/>
          </w:tcPr>
          <w:p>
            <w:pPr>
              <w:spacing w:after="0" w:line="252" w:lineRule="auto"/>
            </w:pPr>
            <w:r>
              <w:rPr>
                <w:sz w:val="17"/>
              </w:rPr>
              <w:t>Contracts, property/provider IDs, credentials, mappings, certification, retry and reconciliation.</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Hotel hardware</w:t>
            </w:r>
          </w:p>
        </w:tc>
        <w:tc>
          <w:tcPr>
            <w:tcW w:type="dxa" w:w="3000"/>
            <w:tcMar>
              <w:top w:w="90" w:type="dxa"/>
              <w:start w:w="100" w:type="dxa"/>
              <w:bottom w:w="90" w:type="dxa"/>
              <w:end w:w="100" w:type="dxa"/>
            </w:tcMar>
            <w:vAlign w:val="center"/>
          </w:tcPr>
          <w:p>
            <w:pPr>
              <w:spacing w:after="0" w:line="252" w:lineRule="auto"/>
            </w:pPr>
            <w:r>
              <w:rPr>
                <w:sz w:val="17"/>
              </w:rPr>
              <w:t>Local outbound bridge architecture</w:t>
            </w:r>
          </w:p>
        </w:tc>
        <w:tc>
          <w:tcPr>
            <w:tcW w:type="dxa" w:w="4866"/>
            <w:tcMar>
              <w:top w:w="90" w:type="dxa"/>
              <w:start w:w="100" w:type="dxa"/>
              <w:bottom w:w="90" w:type="dxa"/>
              <w:end w:w="100" w:type="dxa"/>
            </w:tcMar>
            <w:vAlign w:val="center"/>
          </w:tcPr>
          <w:p>
            <w:pPr>
              <w:spacing w:after="0" w:line="252" w:lineRule="auto"/>
            </w:pPr>
            <w:r>
              <w:rPr>
                <w:sz w:val="17"/>
              </w:rPr>
              <w:t>Approved device inventory, network/site authority, drivers, local credentials, privacy/safety and hotel UAT.</w:t>
            </w:r>
          </w:p>
        </w:tc>
      </w:tr>
      <w:tr>
        <w:tc>
          <w:tcPr>
            <w:tcW w:type="dxa" w:w="2300"/>
            <w:shd w:fill="E8EEF6" w:val="clear"/>
            <w:tcMar>
              <w:top w:w="90" w:type="dxa"/>
              <w:start w:w="100" w:type="dxa"/>
              <w:bottom w:w="90" w:type="dxa"/>
              <w:end w:w="100" w:type="dxa"/>
            </w:tcMar>
            <w:vAlign w:val="center"/>
          </w:tcPr>
          <w:p>
            <w:pPr>
              <w:spacing w:after="0" w:line="252" w:lineRule="auto"/>
            </w:pPr>
            <w:r>
              <w:rPr>
                <w:b/>
                <w:sz w:val="17"/>
              </w:rPr>
              <w:t>Sentinel/providers</w:t>
            </w:r>
          </w:p>
        </w:tc>
        <w:tc>
          <w:tcPr>
            <w:tcW w:type="dxa" w:w="3000"/>
            <w:shd w:fill="F7F9FC" w:val="clear"/>
            <w:tcMar>
              <w:top w:w="90" w:type="dxa"/>
              <w:start w:w="100" w:type="dxa"/>
              <w:bottom w:w="90" w:type="dxa"/>
              <w:end w:w="100" w:type="dxa"/>
            </w:tcMar>
            <w:vAlign w:val="center"/>
          </w:tcPr>
          <w:p>
            <w:pPr>
              <w:spacing w:after="0" w:line="252" w:lineRule="auto"/>
            </w:pPr>
            <w:r>
              <w:rPr>
                <w:sz w:val="17"/>
              </w:rPr>
              <w:t>v0.2.0-alpha staging package</w:t>
            </w:r>
          </w:p>
        </w:tc>
        <w:tc>
          <w:tcPr>
            <w:tcW w:type="dxa" w:w="4866"/>
            <w:shd w:fill="F7F9FC" w:val="clear"/>
            <w:tcMar>
              <w:top w:w="90" w:type="dxa"/>
              <w:start w:w="100" w:type="dxa"/>
              <w:bottom w:w="90" w:type="dxa"/>
              <w:end w:w="100" w:type="dxa"/>
            </w:tcMar>
            <w:vAlign w:val="center"/>
          </w:tcPr>
          <w:p>
            <w:pPr>
              <w:spacing w:after="0" w:line="252" w:lineRule="auto"/>
            </w:pPr>
            <w:r>
              <w:rPr>
                <w:sz w:val="17"/>
              </w:rPr>
              <w:t>Staging database/host, approved collectors/providers, scope, keys, restore, security and customer acceptance.</w:t>
            </w:r>
          </w:p>
        </w:tc>
      </w:tr>
    </w:tbl>
    <w:p/>
    <w:p>
      <w:pPr>
        <w:pStyle w:val="Heading1"/>
      </w:pPr>
      <w:r>
        <w:t>16. Verified company and legal data</w:t>
      </w:r>
    </w:p>
    <w:p>
      <w:pPr>
        <w:pStyle w:val="ListBullet"/>
      </w:pPr>
      <w:r>
        <w:t>Legal entity: Rihuum Intercontinental Limited; RC 1476119; incorporated 6 March 2018.</w:t>
      </w:r>
    </w:p>
    <w:p>
      <w:pPr>
        <w:pStyle w:val="ListBullet"/>
      </w:pPr>
      <w:r>
        <w:t>Registered-office locality supplied by the company: Abuja, Nigeria.</w:t>
      </w:r>
    </w:p>
    <w:p>
      <w:pPr>
        <w:pStyle w:val="ListBullet"/>
      </w:pPr>
      <w:r>
        <w:t>Domains: rihuum.com, rihuum.tech and rihuum.net.</w:t>
      </w:r>
    </w:p>
    <w:p>
      <w:pPr>
        <w:pStyle w:val="ListBullet"/>
      </w:pPr>
      <w:r>
        <w:t>Phones: 09162102777, 08082407830 and 07031321663.</w:t>
      </w:r>
    </w:p>
    <w:p>
      <w:pPr>
        <w:pStyle w:val="ListBullet"/>
      </w:pPr>
      <w:r>
        <w:t>Current general addresses: info/admin on each Rihuum domain plus rihuumconsult@gmail.com for continuity.</w:t>
      </w:r>
    </w:p>
    <w:p>
      <w:pPr>
        <w:pStyle w:val="ListBullet"/>
      </w:pPr>
      <w:r>
        <w:t>Finance segregation: finance@rihuum.com issues, payment@rihuum.com records and account@rihuum.com separately approves.</w:t>
      </w:r>
    </w:p>
    <w:p>
      <w:pPr>
        <w:pStyle w:val="ListBullet"/>
      </w:pPr>
      <w:r>
        <w:t>Rihuum Technology and Digital Hub is confirmed as CAC-registered; its exact CAC number and legal form remain unverified.</w:t>
      </w:r>
    </w:p>
    <w:p>
      <w:pPr>
        <w:pStyle w:val="ListBullet"/>
      </w:pPr>
      <w:r>
        <w:t>The precise street/public correspondence address and Google Maps Place ID remain unverified and must not be inferred from Abuja alone.</w:t>
      </w:r>
    </w:p>
    <w:p>
      <w:pPr>
        <w:pStyle w:val="Heading1"/>
      </w:pPr>
      <w:r>
        <w:t>17. Completion status and open gates</w:t>
      </w:r>
    </w:p>
    <w:p>
      <w:pPr>
        <w:pStyle w:val="RiskCallout"/>
      </w:pPr>
      <w:r>
        <w:t>Controlled completion boundary: the ecosystem architecture, RME 0.3 manual-configuration model, current Sites/D1 application foundation, RAHIS component candidates and Sentinel package are established. Live OTA, production payments, hardware, third-party APIs, Sentinel operations, customer UAT, penetration/performance testing, restore rehearsals, exact legal identifiers and production sign-off remain open where evidence is absent.</w:t>
      </w:r>
    </w:p>
    <w:p>
      <w:pPr>
        <w:pStyle w:val="ListNumber"/>
        <w:numPr>
          <w:ilvl w:val="0"/>
          <w:numId w:val="10"/>
        </w:numPr>
      </w:pPr>
      <w:r>
        <w:t>Register the asset or provider and its accountable owner.</w:t>
      </w:r>
    </w:p>
    <w:p>
      <w:pPr>
        <w:pStyle w:val="ListNumber"/>
        <w:numPr>
          <w:ilvl w:val="0"/>
          <w:numId w:val="10"/>
        </w:numPr>
      </w:pPr>
      <w:r>
        <w:t>Enter environment-specific public values and protected credentials through the approved configuration path.</w:t>
      </w:r>
    </w:p>
    <w:p>
      <w:pPr>
        <w:pStyle w:val="ListNumber"/>
        <w:numPr>
          <w:ilvl w:val="0"/>
          <w:numId w:val="10"/>
        </w:numPr>
      </w:pPr>
      <w:r>
        <w:t>Complete contract, lawful-processing, security, mapping, sandbox/UAT, reconciliation and rollback checks.</w:t>
      </w:r>
    </w:p>
    <w:p>
      <w:pPr>
        <w:pStyle w:val="ListNumber"/>
        <w:numPr>
          <w:ilvl w:val="0"/>
          <w:numId w:val="10"/>
        </w:numPr>
      </w:pPr>
      <w:r>
        <w:t>Approve activation through the designated product, security/privacy, finance and operations roles.</w:t>
      </w:r>
    </w:p>
    <w:p>
      <w:pPr>
        <w:pStyle w:val="ListNumber"/>
        <w:numPr>
          <w:ilvl w:val="0"/>
          <w:numId w:val="10"/>
        </w:numPr>
      </w:pPr>
      <w:r>
        <w:t>Record the deployment, smoke test, monitoring result, customer acceptance and final release state.</w:t>
      </w:r>
    </w:p>
    <w:p>
      <w:pPr>
        <w:pStyle w:val="Heading1"/>
      </w:pPr>
      <w:r>
        <w:t>18. Future-ready scale and migration path</w:t>
      </w:r>
    </w:p>
    <w:tbl>
      <w:tblPr>
        <w:tblStyle w:val="TableGrid"/>
        <w:tblW w:type="dxa" w:w="10166"/>
        <w:jc w:val="center"/>
        <w:tblLayout w:type="fixed"/>
        <w:tblLook w:firstColumn="1" w:firstRow="1" w:lastColumn="0" w:lastRow="0" w:noHBand="0" w:noVBand="1" w:val="04A0"/>
        <w:tblInd w:w="120" w:type="dxa"/>
      </w:tblPr>
      <w:tblGrid>
        <w:gridCol w:w="1800"/>
        <w:gridCol w:w="4100"/>
        <w:gridCol w:w="4266"/>
      </w:tblGrid>
      <w:tr>
        <w:trPr>
          <w:tblHeader w:val="true"/>
        </w:trPr>
        <w:tc>
          <w:tcPr>
            <w:tcW w:type="dxa" w:w="1800"/>
            <w:shd w:fill="142946" w:val="clear"/>
            <w:tcMar>
              <w:top w:w="90" w:type="dxa"/>
              <w:start w:w="100" w:type="dxa"/>
              <w:bottom w:w="90" w:type="dxa"/>
              <w:end w:w="100" w:type="dxa"/>
            </w:tcMar>
            <w:vAlign w:val="center"/>
          </w:tcPr>
          <w:p>
            <w:pPr>
              <w:spacing w:after="0"/>
              <w:jc w:val="left"/>
            </w:pPr>
            <w:r>
              <w:rPr>
                <w:b/>
                <w:color w:val="FFFFFF"/>
                <w:sz w:val="17"/>
              </w:rPr>
              <w:t>Stage</w:t>
            </w:r>
          </w:p>
        </w:tc>
        <w:tc>
          <w:tcPr>
            <w:tcW w:type="dxa" w:w="4100"/>
            <w:shd w:fill="142946" w:val="clear"/>
            <w:tcMar>
              <w:top w:w="90" w:type="dxa"/>
              <w:start w:w="100" w:type="dxa"/>
              <w:bottom w:w="90" w:type="dxa"/>
              <w:end w:w="100" w:type="dxa"/>
            </w:tcMar>
            <w:vAlign w:val="center"/>
          </w:tcPr>
          <w:p>
            <w:pPr>
              <w:spacing w:after="0"/>
              <w:jc w:val="left"/>
            </w:pPr>
            <w:r>
              <w:rPr>
                <w:b/>
                <w:color w:val="FFFFFF"/>
                <w:sz w:val="17"/>
              </w:rPr>
              <w:t>Placement</w:t>
            </w:r>
          </w:p>
        </w:tc>
        <w:tc>
          <w:tcPr>
            <w:tcW w:type="dxa" w:w="4266"/>
            <w:shd w:fill="142946" w:val="clear"/>
            <w:tcMar>
              <w:top w:w="90" w:type="dxa"/>
              <w:start w:w="100" w:type="dxa"/>
              <w:bottom w:w="90" w:type="dxa"/>
              <w:end w:w="100" w:type="dxa"/>
            </w:tcMar>
            <w:vAlign w:val="center"/>
          </w:tcPr>
          <w:p>
            <w:pPr>
              <w:spacing w:after="0"/>
              <w:jc w:val="left"/>
            </w:pPr>
            <w:r>
              <w:rPr>
                <w:b/>
                <w:color w:val="FFFFFF"/>
                <w:sz w:val="17"/>
              </w:rPr>
              <w:t>Evidence-based trigger</w:t>
            </w:r>
          </w:p>
        </w:tc>
      </w:tr>
      <w:tr>
        <w:tc>
          <w:tcPr>
            <w:tcW w:type="dxa" w:w="1800"/>
            <w:shd w:fill="E8EEF6" w:val="clear"/>
            <w:tcMar>
              <w:top w:w="90" w:type="dxa"/>
              <w:start w:w="100" w:type="dxa"/>
              <w:bottom w:w="90" w:type="dxa"/>
              <w:end w:w="100" w:type="dxa"/>
            </w:tcMar>
            <w:vAlign w:val="center"/>
          </w:tcPr>
          <w:p>
            <w:pPr>
              <w:spacing w:after="0" w:line="252" w:lineRule="auto"/>
            </w:pPr>
            <w:r>
              <w:rPr>
                <w:b/>
                <w:sz w:val="17"/>
              </w:rPr>
              <w:t>Current</w:t>
            </w:r>
          </w:p>
        </w:tc>
        <w:tc>
          <w:tcPr>
            <w:tcW w:type="dxa" w:w="4100"/>
            <w:tcMar>
              <w:top w:w="90" w:type="dxa"/>
              <w:start w:w="100" w:type="dxa"/>
              <w:bottom w:w="90" w:type="dxa"/>
              <w:end w:w="100" w:type="dxa"/>
            </w:tcMar>
            <w:vAlign w:val="center"/>
          </w:tcPr>
          <w:p>
            <w:pPr>
              <w:spacing w:after="0" w:line="252" w:lineRule="auto"/>
            </w:pPr>
            <w:r>
              <w:rPr>
                <w:sz w:val="17"/>
              </w:rPr>
              <w:t>Sites/D1 public and controlled application runtime; Namecheap DNS/email</w:t>
            </w:r>
          </w:p>
        </w:tc>
        <w:tc>
          <w:tcPr>
            <w:tcW w:type="dxa" w:w="4266"/>
            <w:tcMar>
              <w:top w:w="90" w:type="dxa"/>
              <w:start w:w="100" w:type="dxa"/>
              <w:bottom w:w="90" w:type="dxa"/>
              <w:end w:w="100" w:type="dxa"/>
            </w:tcMar>
            <w:vAlign w:val="center"/>
          </w:tcPr>
          <w:p>
            <w:pPr>
              <w:spacing w:after="0" w:line="252" w:lineRule="auto"/>
            </w:pPr>
            <w:r>
              <w:rPr>
                <w:sz w:val="17"/>
              </w:rPr>
              <w:t>Continue while security, reliability, data and workload constraints remain satisfied.</w:t>
            </w:r>
          </w:p>
        </w:tc>
      </w:tr>
      <w:tr>
        <w:tc>
          <w:tcPr>
            <w:tcW w:type="dxa" w:w="1800"/>
            <w:shd w:fill="E8EEF6" w:val="clear"/>
            <w:tcMar>
              <w:top w:w="90" w:type="dxa"/>
              <w:start w:w="100" w:type="dxa"/>
              <w:bottom w:w="90" w:type="dxa"/>
              <w:end w:w="100" w:type="dxa"/>
            </w:tcMar>
            <w:vAlign w:val="center"/>
          </w:tcPr>
          <w:p>
            <w:pPr>
              <w:spacing w:after="0" w:line="252" w:lineRule="auto"/>
            </w:pPr>
            <w:r>
              <w:rPr>
                <w:b/>
                <w:sz w:val="17"/>
              </w:rPr>
              <w:t>Bounded shared hosting</w:t>
            </w:r>
          </w:p>
        </w:tc>
        <w:tc>
          <w:tcPr>
            <w:tcW w:type="dxa" w:w="4100"/>
            <w:shd w:fill="F7F9FC" w:val="clear"/>
            <w:tcMar>
              <w:top w:w="90" w:type="dxa"/>
              <w:start w:w="100" w:type="dxa"/>
              <w:bottom w:w="90" w:type="dxa"/>
              <w:end w:w="100" w:type="dxa"/>
            </w:tcMar>
            <w:vAlign w:val="center"/>
          </w:tcPr>
          <w:p>
            <w:pPr>
              <w:spacing w:after="0" w:line="252" w:lineRule="auto"/>
            </w:pPr>
            <w:r>
              <w:rPr>
                <w:sz w:val="17"/>
              </w:rPr>
              <w:t>Low-risk PHP/MySQL pilots or Sentinel staging candidate</w:t>
            </w:r>
          </w:p>
        </w:tc>
        <w:tc>
          <w:tcPr>
            <w:tcW w:type="dxa" w:w="4266"/>
            <w:shd w:fill="F7F9FC" w:val="clear"/>
            <w:tcMar>
              <w:top w:w="90" w:type="dxa"/>
              <w:start w:w="100" w:type="dxa"/>
              <w:bottom w:w="90" w:type="dxa"/>
              <w:end w:w="100" w:type="dxa"/>
            </w:tcMar>
            <w:vAlign w:val="center"/>
          </w:tcPr>
          <w:p>
            <w:pPr>
              <w:spacing w:after="0" w:line="252" w:lineRule="auto"/>
            </w:pPr>
            <w:r>
              <w:rPr>
                <w:sz w:val="17"/>
              </w:rPr>
              <w:t>Only after plan limits, backup, restore, isolation and security are verified.</w:t>
            </w:r>
          </w:p>
        </w:tc>
      </w:tr>
      <w:tr>
        <w:tc>
          <w:tcPr>
            <w:tcW w:type="dxa" w:w="1800"/>
            <w:shd w:fill="E8EEF6" w:val="clear"/>
            <w:tcMar>
              <w:top w:w="90" w:type="dxa"/>
              <w:start w:w="100" w:type="dxa"/>
              <w:bottom w:w="90" w:type="dxa"/>
              <w:end w:w="100" w:type="dxa"/>
            </w:tcMar>
            <w:vAlign w:val="center"/>
          </w:tcPr>
          <w:p>
            <w:pPr>
              <w:spacing w:after="0" w:line="252" w:lineRule="auto"/>
            </w:pPr>
            <w:r>
              <w:rPr>
                <w:b/>
                <w:sz w:val="17"/>
              </w:rPr>
              <w:t>VPS/managed services</w:t>
            </w:r>
          </w:p>
        </w:tc>
        <w:tc>
          <w:tcPr>
            <w:tcW w:type="dxa" w:w="4100"/>
            <w:tcMar>
              <w:top w:w="90" w:type="dxa"/>
              <w:start w:w="100" w:type="dxa"/>
              <w:bottom w:w="90" w:type="dxa"/>
              <w:end w:w="100" w:type="dxa"/>
            </w:tcMar>
            <w:vAlign w:val="center"/>
          </w:tcPr>
          <w:p>
            <w:pPr>
              <w:spacing w:after="0" w:line="252" w:lineRule="auto"/>
            </w:pPr>
            <w:r>
              <w:rPr>
                <w:sz w:val="17"/>
              </w:rPr>
              <w:t>Workers, queues, cache, managed database, object storage and observability</w:t>
            </w:r>
          </w:p>
        </w:tc>
        <w:tc>
          <w:tcPr>
            <w:tcW w:type="dxa" w:w="4266"/>
            <w:tcMar>
              <w:top w:w="90" w:type="dxa"/>
              <w:start w:w="100" w:type="dxa"/>
              <w:bottom w:w="90" w:type="dxa"/>
              <w:end w:w="100" w:type="dxa"/>
            </w:tcMar>
            <w:vAlign w:val="center"/>
          </w:tcPr>
          <w:p>
            <w:pPr>
              <w:spacing w:after="0" w:line="252" w:lineRule="auto"/>
            </w:pPr>
            <w:r>
              <w:rPr>
                <w:sz w:val="17"/>
              </w:rPr>
              <w:t>Queue delay, concurrency, integration volume, isolation or operational-control threshold.</w:t>
            </w:r>
          </w:p>
        </w:tc>
      </w:tr>
      <w:tr>
        <w:tc>
          <w:tcPr>
            <w:tcW w:type="dxa" w:w="1800"/>
            <w:shd w:fill="E8EEF6" w:val="clear"/>
            <w:tcMar>
              <w:top w:w="90" w:type="dxa"/>
              <w:start w:w="100" w:type="dxa"/>
              <w:bottom w:w="90" w:type="dxa"/>
              <w:end w:w="100" w:type="dxa"/>
            </w:tcMar>
            <w:vAlign w:val="center"/>
          </w:tcPr>
          <w:p>
            <w:pPr>
              <w:spacing w:after="0" w:line="252" w:lineRule="auto"/>
            </w:pPr>
            <w:r>
              <w:rPr>
                <w:b/>
                <w:sz w:val="17"/>
              </w:rPr>
              <w:t>Hybrid/edge</w:t>
            </w:r>
          </w:p>
        </w:tc>
        <w:tc>
          <w:tcPr>
            <w:tcW w:type="dxa" w:w="4100"/>
            <w:shd w:fill="F7F9FC" w:val="clear"/>
            <w:tcMar>
              <w:top w:w="90" w:type="dxa"/>
              <w:start w:w="100" w:type="dxa"/>
              <w:bottom w:w="90" w:type="dxa"/>
              <w:end w:w="100" w:type="dxa"/>
            </w:tcMar>
            <w:vAlign w:val="center"/>
          </w:tcPr>
          <w:p>
            <w:pPr>
              <w:spacing w:after="0" w:line="252" w:lineRule="auto"/>
            </w:pPr>
            <w:r>
              <w:rPr>
                <w:sz w:val="17"/>
              </w:rPr>
              <w:t>Central governance plus customer/hotel outbound collectors</w:t>
            </w:r>
          </w:p>
        </w:tc>
        <w:tc>
          <w:tcPr>
            <w:tcW w:type="dxa" w:w="4266"/>
            <w:shd w:fill="F7F9FC" w:val="clear"/>
            <w:tcMar>
              <w:top w:w="90" w:type="dxa"/>
              <w:start w:w="100" w:type="dxa"/>
              <w:bottom w:w="90" w:type="dxa"/>
              <w:end w:w="100" w:type="dxa"/>
            </w:tcMar>
            <w:vAlign w:val="center"/>
          </w:tcPr>
          <w:p>
            <w:pPr>
              <w:spacing w:after="0" w:line="252" w:lineRule="auto"/>
            </w:pPr>
            <w:r>
              <w:rPr>
                <w:sz w:val="17"/>
              </w:rPr>
              <w:t>Private-device integration, offline resilience, low-latency or data-local processing need.</w:t>
            </w:r>
          </w:p>
        </w:tc>
      </w:tr>
      <w:tr>
        <w:tc>
          <w:tcPr>
            <w:tcW w:type="dxa" w:w="1800"/>
            <w:shd w:fill="E8EEF6" w:val="clear"/>
            <w:tcMar>
              <w:top w:w="90" w:type="dxa"/>
              <w:start w:w="100" w:type="dxa"/>
              <w:bottom w:w="90" w:type="dxa"/>
              <w:end w:w="100" w:type="dxa"/>
            </w:tcMar>
            <w:vAlign w:val="center"/>
          </w:tcPr>
          <w:p>
            <w:pPr>
              <w:spacing w:after="0" w:line="252" w:lineRule="auto"/>
            </w:pPr>
            <w:r>
              <w:rPr>
                <w:b/>
                <w:sz w:val="17"/>
              </w:rPr>
              <w:t>Regional cloud/SaaS</w:t>
            </w:r>
          </w:p>
        </w:tc>
        <w:tc>
          <w:tcPr>
            <w:tcW w:type="dxa" w:w="4100"/>
            <w:tcMar>
              <w:top w:w="90" w:type="dxa"/>
              <w:start w:w="100" w:type="dxa"/>
              <w:bottom w:w="90" w:type="dxa"/>
              <w:end w:w="100" w:type="dxa"/>
            </w:tcMar>
            <w:vAlign w:val="center"/>
          </w:tcPr>
          <w:p>
            <w:pPr>
              <w:spacing w:after="0" w:line="252" w:lineRule="auto"/>
            </w:pPr>
            <w:r>
              <w:rPr>
                <w:sz w:val="17"/>
              </w:rPr>
              <w:t>Multi-region tenancy, autoscaling, HA/DR, formal SRE and data residency</w:t>
            </w:r>
          </w:p>
        </w:tc>
        <w:tc>
          <w:tcPr>
            <w:tcW w:type="dxa" w:w="4266"/>
            <w:tcMar>
              <w:top w:w="90" w:type="dxa"/>
              <w:start w:w="100" w:type="dxa"/>
              <w:bottom w:w="90" w:type="dxa"/>
              <w:end w:w="100" w:type="dxa"/>
            </w:tcMar>
            <w:vAlign w:val="center"/>
          </w:tcPr>
          <w:p>
            <w:pPr>
              <w:spacing w:after="0" w:line="252" w:lineRule="auto"/>
            </w:pPr>
            <w:r>
              <w:rPr>
                <w:sz w:val="17"/>
              </w:rPr>
              <w:t>Sustained multi-country demand, approved SLOs, compliance and commercial capacity.</w:t>
            </w:r>
          </w:p>
        </w:tc>
      </w:tr>
    </w:tbl>
    <w:p/>
    <w:p>
      <w:pPr>
        <w:pStyle w:val="LeadCallout"/>
      </w:pPr>
      <w:r>
        <w:t>Architectural rule: migrate components only when measured triggers justify the move. Preserve versioned contracts, exportable data, migrations, release evidence and rollback so hosting evolution never requires rebuilding the entire Rihuum ecosystem.</w:t>
      </w:r>
    </w:p>
    <w:sectPr w:rsidR="00FC693F" w:rsidRPr="0006063C" w:rsidSect="00034616">
      <w:headerReference w:type="default" r:id="rId9"/>
      <w:footerReference w:type="default" r:id="rId10"/>
      <w:pgSz w:w="12240" w:h="15840"/>
      <w:pgMar w:top="936" w:right="1037" w:bottom="936" w:left="1037"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12233F"/>
        <w:sz w:val="14"/>
      </w:rPr>
      <w:t xml:space="preserve">Built and Developed by Rihuum Intercontinental Limited | </w:t>
    </w:r>
    <w:hyperlink r:id="rId1">
      <w:r>
        <w:rPr>
          <w:color w:val="B88A22"/>
          <w:rFonts w:ascii="Arial" w:hAnsi="Arial"/>
        </w:rPr>
        <w:t>www.rihuum.tech</w:t>
      </w:r>
    </w:hyperlink>
    <w:r>
      <w:rPr>
        <w:rFonts w:ascii="Arial" w:hAnsi="Arial"/>
        <w:color w:val="12233F"/>
        <w:sz w:val="14"/>
      </w:rPr>
      <w:t xml:space="preserve"> | Page </w:t>
    </w:r>
    <w:r>
      <w:rPr>
        <w:rFonts w:ascii="Arial" w:hAnsi="Arial"/>
        <w:color w:val="12233F"/>
        <w:sz w:val="14"/>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1B5FA7"/>
        <w:sz w:val="14"/>
      </w:rPr>
      <w:t>RIHUUM DIGITAL ECOSYSTEM | v2.1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tab"/>
      <w:pPr>
        <w:tabs>
          <w:tab w:val="num" w:pos="720"/>
        </w:tabs>
        <w:ind w:left="720" w:hanging="3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color w:val="1F2937"/>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12233F"/>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1B5FA7"/>
      <w:sz w:val="27"/>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B88A2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2233F"/>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b/>
      <w:i/>
      <w:iCs/>
      <w:color w:val="1B5FA7"/>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Callout">
    <w:name w:val="Lead Callout"/>
    <w:pPr>
      <w:spacing w:after="140"/>
    </w:pPr>
    <w:rPr>
      <w:rFonts w:ascii="Arial" w:hAnsi="Arial"/>
      <w:b/>
      <w:color w:val="12233F"/>
      <w:sz w:val="20"/>
    </w:rPr>
  </w:style>
  <w:style w:type="paragraph" w:customStyle="1" w:styleId="SmallNote">
    <w:name w:val="Small Note"/>
    <w:rPr>
      <w:rFonts w:ascii="Arial" w:hAnsi="Arial"/>
      <w:color w:val="555D69"/>
      <w:sz w:val="15"/>
    </w:rPr>
  </w:style>
  <w:style w:type="paragraph" w:customStyle="1" w:styleId="RiskCallout">
    <w:name w:val="Risk Callout"/>
    <w:pPr>
      <w:spacing w:after="140"/>
      <w:ind w:left="259" w:right="259"/>
    </w:pPr>
    <w:rPr>
      <w:rFonts w:ascii="Arial" w:hAnsi="Arial"/>
      <w:b/>
      <w:color w:val="9D1C2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rihuum.tech"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rihuum.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Rihuum Digital Ecosystem Master Architecture v2.1</dc:title>
  <dc:subject>Controlled release architecture for the Rihuum Digital Ecosystem</dc:subject>
  <dc:creator>Rihuum Intercontinental Limited</dc:creator>
  <cp:keywords/>
  <dc:description>generated by python-docx</dc:description>
  <cp:lastModifiedBy>Rihuum Intercontinental Limited</cp:lastModifiedBy>
  <cp:revision>1</cp:revision>
  <dcterms:created xsi:type="dcterms:W3CDTF">2013-12-23T23:15:00Z</dcterms:created>
  <dcterms:modified xsi:type="dcterms:W3CDTF">2013-12-23T23:15:00Z</dcterms:modified>
  <cp:category/>
</cp:coreProperties>
</file>