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20"/>
        <w:jc w:val="center"/>
      </w:pPr>
      <w:r>
        <w:drawing>
          <wp:inline xmlns:a="http://schemas.openxmlformats.org/drawingml/2006/main" xmlns:pic="http://schemas.openxmlformats.org/drawingml/2006/picture">
            <wp:extent cx="1508760" cy="1508760"/>
            <wp:docPr id="1" name="Picture 1" descr="Official Rihuum Intercontinental Limited gold R logo" title="Official Rihuum logo"/>
            <wp:cNvGraphicFramePr>
              <a:graphicFrameLocks noChangeAspect="1"/>
            </wp:cNvGraphicFramePr>
            <a:graphic>
              <a:graphicData uri="http://schemas.openxmlformats.org/drawingml/2006/picture">
                <pic:pic>
                  <pic:nvPicPr>
                    <pic:cNvPr id="0" name="rihuum-official-logo-cropped.png"/>
                    <pic:cNvPicPr/>
                  </pic:nvPicPr>
                  <pic:blipFill>
                    <a:blip r:embed="rId11"/>
                    <a:stretch>
                      <a:fillRect/>
                    </a:stretch>
                  </pic:blipFill>
                  <pic:spPr>
                    <a:xfrm>
                      <a:off x="0" y="0"/>
                      <a:ext cx="1508760" cy="1508760"/>
                    </a:xfrm>
                    <a:prstGeom prst="rect"/>
                  </pic:spPr>
                </pic:pic>
              </a:graphicData>
            </a:graphic>
          </wp:inline>
        </w:drawing>
      </w:r>
    </w:p>
    <w:p>
      <w:pPr>
        <w:spacing w:before="100" w:after="160"/>
        <w:jc w:val="center"/>
      </w:pPr>
      <w:r>
        <w:rPr>
          <w:rFonts w:ascii="Calibri" w:hAnsi="Calibri"/>
          <w:b/>
          <w:color w:val="102A43"/>
          <w:sz w:val="26"/>
        </w:rPr>
        <w:t>RIHUUM INTERCONTINENTAL LIMITED</w:t>
      </w:r>
    </w:p>
    <w:p>
      <w:pPr>
        <w:spacing w:before="140" w:after="280"/>
        <w:jc w:val="center"/>
      </w:pPr>
      <w:r>
        <w:rPr>
          <w:rFonts w:ascii="Arial" w:hAnsi="Arial"/>
          <w:b/>
          <w:color w:val="9D1C20"/>
          <w:sz w:val="20"/>
        </w:rPr>
        <w:t>CONTROLLED CONSOLIDATED MASTER BLUEPRINT EDITION</w:t>
      </w:r>
    </w:p>
    <w:p>
      <w:pPr>
        <w:spacing w:after="160"/>
        <w:jc w:val="center"/>
      </w:pPr>
      <w:r>
        <w:rPr>
          <w:rFonts w:ascii="Calibri Light" w:hAnsi="Calibri Light"/>
          <w:b/>
          <w:color w:val="102A43"/>
          <w:sz w:val="54"/>
        </w:rPr>
        <w:t>Master Corporate, Technology</w:t>
        <w:br/>
        <w:t>and Product Development Document</w:t>
      </w:r>
    </w:p>
    <w:p>
      <w:pPr>
        <w:spacing w:after="320"/>
        <w:jc w:val="center"/>
      </w:pPr>
      <w:r>
        <w:rPr>
          <w:rFonts w:ascii="Arial" w:hAnsi="Arial"/>
          <w:b w:val="0"/>
          <w:color w:val="12233F"/>
          <w:sz w:val="22"/>
        </w:rPr>
        <w:t>Including Rihuum Master Enterprises, the Rihuum Digital Ecosystem, Rihuum OS, Rihuum Intelligence Architecture, Rihuum Sentinel AI Cybersecurity Suite, RAHIS and the long-term commercialisation roadmap</w:t>
      </w:r>
    </w:p>
    <w:p>
      <w:pPr>
        <w:spacing w:after="400"/>
        <w:jc w:val="center"/>
        <w:pBdr>
          <w:top w:val="single" w:sz="14" w:space="8" w:color="C99A2E"/>
        </w:pBdr>
      </w:pPr>
      <w:r>
        <w:rPr>
          <w:rFonts w:ascii="Arial" w:hAnsi="Arial"/>
          <w:b/>
          <w:color w:val="12233F"/>
          <w:sz w:val="18"/>
        </w:rPr>
        <w:t>Version 3.1  |  26 July 2026  |  Controlled consolidated edition</w:t>
      </w:r>
    </w:p>
    <w:p>
      <w:pPr>
        <w:spacing w:before="360" w:after="80"/>
        <w:jc w:val="center"/>
      </w:pPr>
      <w:r>
        <w:rPr>
          <w:b/>
          <w:color w:val="1D2733"/>
          <w:sz w:val="19"/>
        </w:rPr>
        <w:t>RC 1476119 | Incorporated 6 March 2018</w:t>
      </w:r>
    </w:p>
    <w:p>
      <w:pPr>
        <w:spacing w:after="60"/>
        <w:jc w:val="center"/>
      </w:pPr>
      <w:hyperlink r:id="rId12">
        <w:r>
          <w:rPr>
            <w:color w:val="1F4D78"/>
            <w:u w:val="single"/>
          </w:rPr>
          <w:t>www.rihuum.com</w:t>
        </w:r>
      </w:hyperlink>
      <w:r>
        <w:t xml:space="preserve">  |  </w:t>
      </w:r>
      <w:hyperlink r:id="rId13">
        <w:r>
          <w:rPr>
            <w:color w:val="1F4D78"/>
            <w:u w:val="single"/>
          </w:rPr>
          <w:t>www.rihuum.tech</w:t>
        </w:r>
      </w:hyperlink>
      <w:r>
        <w:t xml:space="preserve">  |  </w:t>
      </w:r>
      <w:hyperlink r:id="rId14">
        <w:r>
          <w:rPr>
            <w:color w:val="1F4D78"/>
            <w:u w:val="single"/>
          </w:rPr>
          <w:t>www.rihuum.net</w:t>
        </w:r>
      </w:hyperlink>
    </w:p>
    <w:p>
      <w:pPr>
        <w:spacing w:after="40"/>
        <w:jc w:val="center"/>
      </w:pPr>
      <w:r>
        <w:rPr>
          <w:sz w:val="18"/>
        </w:rPr>
        <w:t>Registered locality: Abuja, Nigeria</w:t>
        <w:br/>
        <w:t>info@rihuum.com | info@rihuum.tech | info@rihuum.net | rihuumconsult@gmail.com</w:t>
        <w:br/>
        <w:t>Finance: finance@rihuum.com | Payments: payment@rihuum.com | Approval: account@rihuum.com</w:t>
        <w:br/>
        <w:t>09162102777 | 08082407830 | 07031321663</w:t>
      </w:r>
    </w:p>
    <w:p>
      <w:pPr>
        <w:spacing w:before="240"/>
        <w:jc w:val="center"/>
      </w:pPr>
      <w:r>
        <w:rPr>
          <w:b/>
          <w:color w:val="9B1C1C"/>
          <w:sz w:val="17"/>
        </w:rPr>
        <w:t>CONFIDENTIAL - GOVERNANCE, EXECUTION AND INVESTMENT PLANNING</w:t>
      </w:r>
    </w:p>
    <w:p>
      <w:pPr>
        <w:pStyle w:val="Heading1"/>
        <w:pageBreakBefore/>
      </w:pPr>
      <w:r>
        <w:t>Document Control and Authority</w:t>
      </w:r>
    </w:p>
    <w:p>
      <w:pPr>
        <w:pStyle w:val="LeadCallout"/>
        <w:shd w:fill="F4F6F9"/>
        <w:pBdr>
          <w:left w:val="single" w:sz="18" w:space="8" w:color="C99A2E"/>
        </w:pBdr>
      </w:pPr>
      <w:r>
        <w:rPr>
          <w:b/>
          <w:color w:val="102A43"/>
        </w:rPr>
        <w:t xml:space="preserve">Authority: </w:t>
      </w:r>
      <w:r>
        <w:t>This document is the controlled strategic and operating blueprint for Rihuum Intercontinental Limited. Business plans, product roadmaps, architecture decisions and departmental plans must align with it unless a documented board-approved exception is recorded.</w:t>
      </w:r>
    </w:p>
    <w:p>
      <w:pPr>
        <w:pStyle w:val="Caption"/>
      </w:pPr>
      <w:r>
        <w:t>Table 1. Controlled document record</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200"/>
        <w:gridCol w:w="7160"/>
      </w:tblGrid>
      <w:tr>
        <w:trPr>
          <w:tblHeader w:val="true"/>
          <w:cantSplit/>
        </w:trPr>
        <w:tc>
          <w:tcPr>
            <w:tcW w:type="dxa" w:w="2200"/>
            <w:vAlign w:val="center"/>
            <w:shd w:fill="F2F4F7"/>
            <w:tcMar>
              <w:top w:w="80" w:type="dxa"/>
              <w:start w:w="120" w:type="dxa"/>
              <w:bottom w:w="80" w:type="dxa"/>
              <w:end w:w="120" w:type="dxa"/>
            </w:tcMar>
          </w:tcPr>
          <w:p>
            <w:pPr>
              <w:spacing w:before="0" w:after="0"/>
              <w:jc w:val="center"/>
            </w:pPr>
            <w:r>
              <w:rPr>
                <w:b/>
                <w:color w:val="102A43"/>
                <w:sz w:val="18"/>
              </w:rPr>
              <w:t>Field</w:t>
            </w:r>
          </w:p>
        </w:tc>
        <w:tc>
          <w:tcPr>
            <w:tcW w:type="dxa" w:w="7160"/>
            <w:vAlign w:val="center"/>
            <w:shd w:fill="F2F4F7"/>
            <w:tcMar>
              <w:top w:w="80" w:type="dxa"/>
              <w:start w:w="120" w:type="dxa"/>
              <w:bottom w:w="80" w:type="dxa"/>
              <w:end w:w="120" w:type="dxa"/>
            </w:tcMar>
          </w:tcPr>
          <w:p>
            <w:pPr>
              <w:spacing w:before="0" w:after="0"/>
              <w:jc w:val="left"/>
            </w:pPr>
            <w:r>
              <w:rPr>
                <w:b/>
                <w:color w:val="102A43"/>
                <w:sz w:val="18"/>
              </w:rPr>
              <w:t>Controlled value</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Legal entity</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Rihuum Intercontinental Limited (RC 1476119)</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Document</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Master Corporate, Technology and Product Development Blueprint</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Version / date</w:t>
            </w:r>
          </w:p>
        </w:tc>
        <w:tc>
          <w:tcPr>
            <w:tcW w:type="dxa" w:w="7160"/>
            <w:vAlign w:val="center"/>
            <w:tcMar>
              <w:top w:w="80" w:type="dxa"/>
              <w:start w:w="120" w:type="dxa"/>
              <w:bottom w:w="80" w:type="dxa"/>
              <w:end w:w="120" w:type="dxa"/>
            </w:tcMar>
          </w:tcPr>
          <w:p>
            <w:r>
              <w:t>3.1 / 26 July 2026</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Status</w:t>
            </w:r>
          </w:p>
        </w:tc>
        <w:tc>
          <w:tcPr>
            <w:tcW w:type="dxa" w:w="7160"/>
            <w:vAlign w:val="center"/>
            <w:shd w:fill="FAFBFC"/>
            <w:tcMar>
              <w:top w:w="80" w:type="dxa"/>
              <w:start w:w="120" w:type="dxa"/>
              <w:bottom w:w="80" w:type="dxa"/>
              <w:end w:w="120" w:type="dxa"/>
            </w:tcMar>
          </w:tcPr>
          <w:p>
            <w:r>
              <w:t>Executive-authorised controlled consolidated successor to v3.0; formal Board ratification must be recorded separately. It establishes the governed architecture and release candidates without claiming that pending providers, credentials, tests or production integrations are commissioned.</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Business owner</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Board of Directors and Managing Director/Chief Executive Officer</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Technology owner</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Chief Technology Officer / designated technology leader</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Review cycle</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At least annually and after material legal, product, security, funding or market change</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Distribution</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Controlled internal copy; approved extracts may be issued to investors, partners, staff and clients</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Change summary</w:t>
            </w:r>
          </w:p>
        </w:tc>
        <w:tc>
          <w:tcPr>
            <w:tcW w:type="dxa" w:w="7160"/>
            <w:vAlign w:val="center"/>
            <w:tcMar>
              <w:top w:w="80" w:type="dxa"/>
              <w:start w:w="120" w:type="dxa"/>
              <w:bottom w:w="80" w:type="dxa"/>
              <w:end w:w="120" w:type="dxa"/>
            </w:tcMar>
          </w:tcPr>
          <w:p>
            <w:r>
              <w:t>Version 3.1 consolidates the current Sites/D1 application runtime, Namecheap DNS/email boundary, RME 0.3 Configuration Centre, Sentinel AI staging candidate and RAHIS v8.3 controlled candidate. RETP is retained only as a superseded historical alias.</w:t>
            </w:r>
          </w:p>
        </w:tc>
      </w:tr>
    </w:tbl>
    <w:p>
      <w:pPr>
        <w:pStyle w:val="Heading2"/>
        <w:pageBreakBefore/>
      </w:pPr>
      <w:r>
        <w:t>Approved corporate identity</w:t>
      </w:r>
    </w:p>
    <w:p>
      <w:pPr>
        <w:pStyle w:val="Caption"/>
      </w:pPr>
      <w:r>
        <w:t>Table 2. Identity and contact data to be used across documents and solutions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200"/>
        <w:gridCol w:w="7160"/>
      </w:tblGrid>
      <w:tr>
        <w:trPr>
          <w:tblHeader w:val="true"/>
          <w:cantSplit/>
        </w:trPr>
        <w:tc>
          <w:tcPr>
            <w:tcW w:type="dxa" w:w="2200"/>
            <w:vAlign w:val="center"/>
            <w:shd w:fill="F2F4F7"/>
            <w:tcMar>
              <w:top w:w="80" w:type="dxa"/>
              <w:start w:w="120" w:type="dxa"/>
              <w:bottom w:w="80" w:type="dxa"/>
              <w:end w:w="120" w:type="dxa"/>
            </w:tcMar>
          </w:tcPr>
          <w:p>
            <w:pPr>
              <w:spacing w:before="0" w:after="0"/>
              <w:jc w:val="center"/>
            </w:pPr>
            <w:r>
              <w:rPr>
                <w:b/>
                <w:color w:val="102A43"/>
                <w:sz w:val="18"/>
              </w:rPr>
              <w:t>Element</w:t>
            </w:r>
          </w:p>
        </w:tc>
        <w:tc>
          <w:tcPr>
            <w:tcW w:type="dxa" w:w="7160"/>
            <w:vAlign w:val="center"/>
            <w:shd w:fill="F2F4F7"/>
            <w:tcMar>
              <w:top w:w="80" w:type="dxa"/>
              <w:start w:w="120" w:type="dxa"/>
              <w:bottom w:w="80" w:type="dxa"/>
              <w:end w:w="120" w:type="dxa"/>
            </w:tcMar>
          </w:tcPr>
          <w:p>
            <w:pPr>
              <w:spacing w:before="0" w:after="0"/>
              <w:jc w:val="center"/>
            </w:pPr>
            <w:r>
              <w:rPr>
                <w:b/>
                <w:color w:val="102A43"/>
                <w:sz w:val="18"/>
              </w:rPr>
              <w:t>Approved value</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Official company name</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Rihuum Intercontinental Limited</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CAC registration number</w:t>
            </w:r>
          </w:p>
        </w:tc>
        <w:tc>
          <w:tcPr>
            <w:tcW w:type="dxa" w:w="7160"/>
            <w:vAlign w:val="center"/>
            <w:shd w:fill="FAFBFC"/>
            <w:tcMar>
              <w:top w:w="80" w:type="dxa"/>
              <w:start w:w="120" w:type="dxa"/>
              <w:bottom w:w="80" w:type="dxa"/>
              <w:end w:w="120" w:type="dxa"/>
            </w:tcMar>
          </w:tcPr>
          <w:p>
            <w:pPr>
              <w:spacing w:before="0" w:after="20" w:line="252" w:lineRule="auto"/>
              <w:jc w:val="center"/>
            </w:pPr>
            <w:r>
              <w:rPr>
                <w:color w:val="1D2733"/>
                <w:sz w:val="17"/>
              </w:rPr>
              <w:t>RC 1476119</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Date of incorporation</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6 March 2018 (company-supplied and board-approved fact)</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Email</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Corporate: info@rihuum.com | admin@rihuum.com</w:t>
              <w:br/>
              <w:t>Technology: info@rihuum.tech | admin@rihuum.tech</w:t>
              <w:br/>
              <w:t>Operations: info@rihuum.net | admin@rihuum.net</w:t>
              <w:br/>
              <w:t>Finance control: finance@rihuum.com | payment@rihuum.com | account@rihuum.com</w:t>
              <w:br/>
              <w:t>Continuity: rihuumconsult@gmail.com</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Telephone</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09162102777 | 08082407830 | 07031321663</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Domains / registered locality</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www.rihuum.com | www.rihuum.tech | www.rihuum.net | Abuja, Nigeria</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Attribution</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Built and Developed by Rihuum Intercontinental Limited - www.rihuum.tech</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Official logo</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Only the board-approved gold Rihuum emblem supplied by the company</w:t>
            </w:r>
          </w:p>
        </w:tc>
      </w:tr>
    </w:tbl>
    <w:p>
      <w:pPr>
        <w:pStyle w:val="Heading2"/>
        <w:pageBreakBefore w:val="0"/>
      </w:pPr>
      <w:r>
        <w:t>Evidence and claims discipline</w:t>
      </w:r>
    </w:p>
    <w:p>
      <w:pPr>
        <w:pStyle w:val="ListBullet"/>
        <w:keepLines/>
      </w:pPr>
      <w:r>
        <w:rPr>
          <w:b/>
        </w:rPr>
        <w:t xml:space="preserve">Company facts: </w:t>
      </w:r>
      <w:r>
        <w:t>Facts supplied and approved by the board are treated as company records; they should still be reconciled to the current CAC profile and statutory registers.</w:t>
      </w:r>
    </w:p>
    <w:p>
      <w:pPr>
        <w:pStyle w:val="ListBullet"/>
        <w:keepLines/>
      </w:pPr>
      <w:r>
        <w:rPr>
          <w:b/>
        </w:rPr>
        <w:t xml:space="preserve">Recommendations: </w:t>
      </w:r>
      <w:r>
        <w:t>Targets, structures, controls and timelines in this blueprint are management recommendations until adopted through budget, policy, contract or board resolution.</w:t>
      </w:r>
    </w:p>
    <w:p>
      <w:pPr>
        <w:pStyle w:val="ListBullet"/>
        <w:keepLines/>
      </w:pPr>
      <w:r>
        <w:rPr>
          <w:b/>
        </w:rPr>
        <w:t xml:space="preserve">No implied certification: </w:t>
      </w:r>
      <w:r>
        <w:t>Alignment to a framework or standard does not mean Rihuum is certified. Certification may be claimed only after an accredited assessment and current certificate.</w:t>
      </w:r>
    </w:p>
    <w:p>
      <w:pPr>
        <w:pStyle w:val="ListBullet"/>
        <w:keepLines/>
      </w:pPr>
      <w:r>
        <w:rPr>
          <w:b/>
        </w:rPr>
        <w:t xml:space="preserve">Legal review: </w:t>
      </w:r>
      <w:r>
        <w:t>The compliance section is an operating checklist, not legal or tax advice. Qualified Nigerian counsel, tax advisers and sector specialists must validate obligations before launch or market entry.</w:t>
      </w:r>
    </w:p>
    <w:p>
      <w:pPr>
        <w:pStyle w:val="ListBullet"/>
        <w:keepLines/>
      </w:pPr>
      <w:r>
        <w:rPr>
          <w:b/>
        </w:rPr>
        <w:t>Open facts:</w:t>
      </w:r>
      <w:r>
        <w:rPr>
          <w:b w:val="0"/>
        </w:rPr>
        <w:t xml:space="preserve"> Rihuum Technology and Digital Hub is confirmed as CAC-registered, but its exact registration number/legal form remains unverified. Abuja, Nigeria is the confirmed registered-office locality; the exact street/public correspondence address and Google Maps Place ID remain verification items and are not guessed.</w:t>
      </w:r>
    </w:p>
    <w:p>
      <w:pPr>
        <w:pStyle w:val="Heading1"/>
        <w:pageBreakBefore/>
      </w:pPr>
      <w:r>
        <w:t>How to Use This Blueprint</w:t>
      </w:r>
    </w:p>
    <w:p>
      <w:pPr>
        <w:pStyle w:val="LeadCallout"/>
        <w:shd w:fill="F4F6F9"/>
        <w:pBdr>
          <w:left w:val="single" w:sz="18" w:space="8" w:color="C99A2E"/>
        </w:pBdr>
      </w:pPr>
      <w:r>
        <w:rPr>
          <w:b/>
          <w:color w:val="102A43"/>
        </w:rPr>
        <w:t xml:space="preserve">Operating rule: </w:t>
      </w:r>
      <w:r>
        <w:t>Strategy becomes real only when each recommendation has an accountable owner, approved funding, measurable completion evidence and a review date.</w:t>
      </w:r>
    </w:p>
    <w:p>
      <w:pPr>
        <w:pStyle w:val="Heading2"/>
      </w:pPr>
      <w:r>
        <w:t>Decision hierarchy</w:t>
      </w:r>
    </w:p>
    <w:p>
      <w:pPr>
        <w:pStyle w:val="ListNumber"/>
        <w:keepLines/>
        <w:numPr>
          <w:ilvl w:val="0"/>
          <w:numId w:val="10"/>
        </w:numPr>
      </w:pPr>
      <w:r>
        <w:rPr>
          <w:b/>
        </w:rPr>
        <w:t xml:space="preserve">Board direction: </w:t>
      </w:r>
      <w:r>
        <w:t>Vision, risk appetite, annual priorities, capital allocation, major partnerships and entry into regulated or new markets.</w:t>
      </w:r>
    </w:p>
    <w:p>
      <w:pPr>
        <w:pStyle w:val="ListNumber"/>
        <w:keepLines/>
        <w:numPr>
          <w:ilvl w:val="0"/>
          <w:numId w:val="10"/>
        </w:numPr>
      </w:pPr>
      <w:r>
        <w:rPr>
          <w:b/>
        </w:rPr>
        <w:t xml:space="preserve">Executive portfolio: </w:t>
      </w:r>
      <w:r>
        <w:t>Which products and services receive investment; which are incubated, partnered, paused or retired.</w:t>
      </w:r>
    </w:p>
    <w:p>
      <w:pPr>
        <w:pStyle w:val="ListNumber"/>
        <w:keepLines/>
        <w:numPr>
          <w:ilvl w:val="0"/>
          <w:numId w:val="10"/>
        </w:numPr>
      </w:pPr>
      <w:r>
        <w:rPr>
          <w:b/>
        </w:rPr>
        <w:t xml:space="preserve">Product and architecture governance: </w:t>
      </w:r>
      <w:r>
        <w:t>Product outcomes, shared platform contracts, data rules, security requirements and technical exceptions.</w:t>
      </w:r>
    </w:p>
    <w:p>
      <w:pPr>
        <w:pStyle w:val="ListNumber"/>
        <w:keepLines/>
        <w:numPr>
          <w:ilvl w:val="0"/>
          <w:numId w:val="10"/>
        </w:numPr>
      </w:pPr>
      <w:r>
        <w:rPr>
          <w:b/>
        </w:rPr>
        <w:t xml:space="preserve">Delivery governance: </w:t>
      </w:r>
      <w:r>
        <w:t>Backlogs, releases, quality gates, migration plans, service operations and measurable benefits.</w:t>
      </w:r>
    </w:p>
    <w:p>
      <w:pPr>
        <w:pStyle w:val="ListNumber"/>
        <w:keepLines/>
        <w:numPr>
          <w:ilvl w:val="0"/>
          <w:numId w:val="10"/>
        </w:numPr>
      </w:pPr>
      <w:r>
        <w:rPr>
          <w:b/>
        </w:rPr>
        <w:t xml:space="preserve">Continuous review: </w:t>
      </w:r>
      <w:r>
        <w:t>Monthly operating review, quarterly portfolio review and annual strategy refresh, with immediate review after a material incident or legal change.</w:t>
      </w:r>
    </w:p>
    <w:p>
      <w:pPr>
        <w:pStyle w:val="Heading2"/>
      </w:pPr>
      <w:r>
        <w:t>Five mandatory gates</w:t>
      </w:r>
    </w:p>
    <w:p>
      <w:pPr>
        <w:pStyle w:val="Caption"/>
      </w:pPr>
      <w:r>
        <w:t>Table 3. Gate model applied to every product, service and expansion</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250"/>
        <w:gridCol w:w="3100"/>
        <w:gridCol w:w="5010"/>
      </w:tblGrid>
      <w:tr>
        <w:trPr>
          <w:tblHeader w:val="true"/>
          <w:cantSplit/>
        </w:trPr>
        <w:tc>
          <w:tcPr>
            <w:tcW w:type="dxa" w:w="1250"/>
            <w:vAlign w:val="center"/>
            <w:shd w:fill="F2F4F7"/>
            <w:tcMar>
              <w:top w:w="80" w:type="dxa"/>
              <w:start w:w="120" w:type="dxa"/>
              <w:bottom w:w="80" w:type="dxa"/>
              <w:end w:w="120" w:type="dxa"/>
            </w:tcMar>
          </w:tcPr>
          <w:p>
            <w:pPr>
              <w:spacing w:before="0" w:after="0"/>
              <w:jc w:val="center"/>
            </w:pPr>
            <w:r>
              <w:rPr>
                <w:b/>
                <w:color w:val="102A43"/>
                <w:sz w:val="18"/>
              </w:rPr>
              <w:t>Gate</w:t>
            </w:r>
          </w:p>
        </w:tc>
        <w:tc>
          <w:tcPr>
            <w:tcW w:type="dxa" w:w="3100"/>
            <w:vAlign w:val="center"/>
            <w:shd w:fill="F2F4F7"/>
            <w:tcMar>
              <w:top w:w="80" w:type="dxa"/>
              <w:start w:w="120" w:type="dxa"/>
              <w:bottom w:w="80" w:type="dxa"/>
              <w:end w:w="120" w:type="dxa"/>
            </w:tcMar>
          </w:tcPr>
          <w:p>
            <w:pPr>
              <w:spacing w:before="0" w:after="0"/>
              <w:jc w:val="center"/>
            </w:pPr>
            <w:r>
              <w:rPr>
                <w:b/>
                <w:color w:val="102A43"/>
                <w:sz w:val="18"/>
              </w:rPr>
              <w:t>Question</w:t>
            </w:r>
          </w:p>
        </w:tc>
        <w:tc>
          <w:tcPr>
            <w:tcW w:type="dxa" w:w="5010"/>
            <w:vAlign w:val="center"/>
            <w:shd w:fill="F2F4F7"/>
            <w:tcMar>
              <w:top w:w="80" w:type="dxa"/>
              <w:start w:w="120" w:type="dxa"/>
              <w:bottom w:w="80" w:type="dxa"/>
              <w:end w:w="120" w:type="dxa"/>
            </w:tcMar>
          </w:tcPr>
          <w:p>
            <w:pPr>
              <w:spacing w:before="0" w:after="0"/>
              <w:jc w:val="left"/>
            </w:pPr>
            <w:r>
              <w:rPr>
                <w:b/>
                <w:color w:val="102A43"/>
                <w:sz w:val="18"/>
              </w:rPr>
              <w:t>Required evidence</w:t>
            </w:r>
          </w:p>
        </w:tc>
      </w:tr>
      <w:tr>
        <w:trPr>
          <w:cantSplit/>
        </w:trPr>
        <w:tc>
          <w:tcPr>
            <w:tcW w:type="dxa" w:w="1250"/>
            <w:vAlign w:val="center"/>
            <w:tcMar>
              <w:top w:w="80" w:type="dxa"/>
              <w:start w:w="120" w:type="dxa"/>
              <w:bottom w:w="80" w:type="dxa"/>
              <w:end w:w="120" w:type="dxa"/>
            </w:tcMar>
          </w:tcPr>
          <w:p>
            <w:pPr>
              <w:spacing w:before="0" w:after="20" w:line="252" w:lineRule="auto"/>
              <w:jc w:val="left"/>
            </w:pPr>
            <w:r>
              <w:rPr>
                <w:color w:val="1D2733"/>
                <w:sz w:val="17"/>
              </w:rPr>
              <w:t>Value</w:t>
            </w:r>
          </w:p>
        </w:tc>
        <w:tc>
          <w:tcPr>
            <w:tcW w:type="dxa" w:w="3100"/>
            <w:vAlign w:val="center"/>
            <w:tcMar>
              <w:top w:w="80" w:type="dxa"/>
              <w:start w:w="120" w:type="dxa"/>
              <w:bottom w:w="80" w:type="dxa"/>
              <w:end w:w="120" w:type="dxa"/>
            </w:tcMar>
          </w:tcPr>
          <w:p>
            <w:pPr>
              <w:spacing w:before="0" w:after="20" w:line="252" w:lineRule="auto"/>
              <w:jc w:val="left"/>
            </w:pPr>
            <w:r>
              <w:rPr>
                <w:color w:val="1D2733"/>
                <w:sz w:val="17"/>
              </w:rPr>
              <w:t>Does a defined customer problem justify investment?</w:t>
            </w:r>
          </w:p>
        </w:tc>
        <w:tc>
          <w:tcPr>
            <w:tcW w:type="dxa" w:w="5010"/>
            <w:vAlign w:val="center"/>
            <w:tcMar>
              <w:top w:w="80" w:type="dxa"/>
              <w:start w:w="120" w:type="dxa"/>
              <w:bottom w:w="80" w:type="dxa"/>
              <w:end w:w="120" w:type="dxa"/>
            </w:tcMar>
          </w:tcPr>
          <w:p>
            <w:pPr>
              <w:spacing w:before="0" w:after="20" w:line="252" w:lineRule="auto"/>
              <w:jc w:val="left"/>
            </w:pPr>
            <w:r>
              <w:rPr>
                <w:color w:val="1D2733"/>
                <w:sz w:val="17"/>
              </w:rPr>
              <w:t>Discovery evidence, customer segment, outcome metric, commercial hypothesis</w:t>
            </w:r>
          </w:p>
        </w:tc>
      </w:tr>
      <w:tr>
        <w:trPr>
          <w:cantSplit/>
        </w:trPr>
        <w:tc>
          <w:tcPr>
            <w:tcW w:type="dxa" w:w="1250"/>
            <w:vAlign w:val="center"/>
            <w:shd w:fill="FAFBFC"/>
            <w:tcMar>
              <w:top w:w="80" w:type="dxa"/>
              <w:start w:w="120" w:type="dxa"/>
              <w:bottom w:w="80" w:type="dxa"/>
              <w:end w:w="120" w:type="dxa"/>
            </w:tcMar>
          </w:tcPr>
          <w:p>
            <w:pPr>
              <w:spacing w:before="0" w:after="20" w:line="252" w:lineRule="auto"/>
              <w:jc w:val="left"/>
            </w:pPr>
            <w:r>
              <w:rPr>
                <w:color w:val="1D2733"/>
                <w:sz w:val="17"/>
              </w:rPr>
              <w:t>Feasibility</w:t>
            </w:r>
          </w:p>
        </w:tc>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7"/>
              </w:rPr>
              <w:t>Can Rihuum deliver and operate it responsibly?</w:t>
            </w:r>
          </w:p>
        </w:tc>
        <w:tc>
          <w:tcPr>
            <w:tcW w:type="dxa" w:w="5010"/>
            <w:vAlign w:val="center"/>
            <w:shd w:fill="FAFBFC"/>
            <w:tcMar>
              <w:top w:w="80" w:type="dxa"/>
              <w:start w:w="120" w:type="dxa"/>
              <w:bottom w:w="80" w:type="dxa"/>
              <w:end w:w="120" w:type="dxa"/>
            </w:tcMar>
          </w:tcPr>
          <w:p>
            <w:pPr>
              <w:spacing w:before="0" w:after="20" w:line="252" w:lineRule="auto"/>
              <w:jc w:val="left"/>
            </w:pPr>
            <w:r>
              <w:rPr>
                <w:color w:val="1D2733"/>
                <w:sz w:val="17"/>
              </w:rPr>
              <w:t>Architecture, skills, vendor, cost and support assessment</w:t>
            </w:r>
          </w:p>
        </w:tc>
      </w:tr>
      <w:tr>
        <w:trPr>
          <w:cantSplit/>
        </w:trPr>
        <w:tc>
          <w:tcPr>
            <w:tcW w:type="dxa" w:w="1250"/>
            <w:vAlign w:val="center"/>
            <w:tcMar>
              <w:top w:w="80" w:type="dxa"/>
              <w:start w:w="120" w:type="dxa"/>
              <w:bottom w:w="80" w:type="dxa"/>
              <w:end w:w="120" w:type="dxa"/>
            </w:tcMar>
          </w:tcPr>
          <w:p>
            <w:pPr>
              <w:spacing w:before="0" w:after="20" w:line="252" w:lineRule="auto"/>
              <w:jc w:val="left"/>
            </w:pPr>
            <w:r>
              <w:rPr>
                <w:color w:val="1D2733"/>
                <w:sz w:val="17"/>
              </w:rPr>
              <w:t>Trust</w:t>
            </w:r>
          </w:p>
        </w:tc>
        <w:tc>
          <w:tcPr>
            <w:tcW w:type="dxa" w:w="3100"/>
            <w:vAlign w:val="center"/>
            <w:tcMar>
              <w:top w:w="80" w:type="dxa"/>
              <w:start w:w="120" w:type="dxa"/>
              <w:bottom w:w="80" w:type="dxa"/>
              <w:end w:w="120" w:type="dxa"/>
            </w:tcMar>
          </w:tcPr>
          <w:p>
            <w:pPr>
              <w:spacing w:before="0" w:after="20" w:line="252" w:lineRule="auto"/>
              <w:jc w:val="left"/>
            </w:pPr>
            <w:r>
              <w:rPr>
                <w:color w:val="1D2733"/>
                <w:sz w:val="17"/>
              </w:rPr>
              <w:t>Is it secure, private, lawful and governable?</w:t>
            </w:r>
          </w:p>
        </w:tc>
        <w:tc>
          <w:tcPr>
            <w:tcW w:type="dxa" w:w="5010"/>
            <w:vAlign w:val="center"/>
            <w:tcMar>
              <w:top w:w="80" w:type="dxa"/>
              <w:start w:w="120" w:type="dxa"/>
              <w:bottom w:w="80" w:type="dxa"/>
              <w:end w:w="120" w:type="dxa"/>
            </w:tcMar>
          </w:tcPr>
          <w:p>
            <w:pPr>
              <w:spacing w:before="0" w:after="20" w:line="252" w:lineRule="auto"/>
              <w:jc w:val="left"/>
            </w:pPr>
            <w:r>
              <w:rPr>
                <w:color w:val="1D2733"/>
                <w:sz w:val="17"/>
              </w:rPr>
              <w:t>Threat model, privacy assessment, controls, contracts and approvals</w:t>
            </w:r>
          </w:p>
        </w:tc>
      </w:tr>
      <w:tr>
        <w:trPr>
          <w:cantSplit/>
        </w:trPr>
        <w:tc>
          <w:tcPr>
            <w:tcW w:type="dxa" w:w="1250"/>
            <w:vAlign w:val="center"/>
            <w:shd w:fill="FAFBFC"/>
            <w:tcMar>
              <w:top w:w="80" w:type="dxa"/>
              <w:start w:w="120" w:type="dxa"/>
              <w:bottom w:w="80" w:type="dxa"/>
              <w:end w:w="120" w:type="dxa"/>
            </w:tcMar>
          </w:tcPr>
          <w:p>
            <w:pPr>
              <w:spacing w:before="0" w:after="20" w:line="252" w:lineRule="auto"/>
              <w:jc w:val="left"/>
            </w:pPr>
            <w:r>
              <w:rPr>
                <w:color w:val="1D2733"/>
                <w:sz w:val="17"/>
              </w:rPr>
              <w:t>Readiness</w:t>
            </w:r>
          </w:p>
        </w:tc>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7"/>
              </w:rPr>
              <w:t>Can it be deployed, supported and recovered?</w:t>
            </w:r>
          </w:p>
        </w:tc>
        <w:tc>
          <w:tcPr>
            <w:tcW w:type="dxa" w:w="5010"/>
            <w:vAlign w:val="center"/>
            <w:shd w:fill="FAFBFC"/>
            <w:tcMar>
              <w:top w:w="80" w:type="dxa"/>
              <w:start w:w="120" w:type="dxa"/>
              <w:bottom w:w="80" w:type="dxa"/>
              <w:end w:w="120" w:type="dxa"/>
            </w:tcMar>
          </w:tcPr>
          <w:p>
            <w:pPr>
              <w:spacing w:before="0" w:after="20" w:line="252" w:lineRule="auto"/>
              <w:jc w:val="left"/>
            </w:pPr>
            <w:r>
              <w:rPr>
                <w:color w:val="1D2733"/>
                <w:sz w:val="17"/>
              </w:rPr>
              <w:t>Test evidence, runbook, monitoring, backup/restore and rollback rehearsal</w:t>
            </w:r>
          </w:p>
        </w:tc>
      </w:tr>
      <w:tr>
        <w:trPr>
          <w:cantSplit/>
        </w:trPr>
        <w:tc>
          <w:tcPr>
            <w:tcW w:type="dxa" w:w="1250"/>
            <w:vAlign w:val="center"/>
            <w:tcMar>
              <w:top w:w="80" w:type="dxa"/>
              <w:start w:w="120" w:type="dxa"/>
              <w:bottom w:w="80" w:type="dxa"/>
              <w:end w:w="120" w:type="dxa"/>
            </w:tcMar>
          </w:tcPr>
          <w:p>
            <w:pPr>
              <w:spacing w:before="0" w:after="20" w:line="252" w:lineRule="auto"/>
              <w:jc w:val="left"/>
            </w:pPr>
            <w:r>
              <w:rPr>
                <w:color w:val="1D2733"/>
                <w:sz w:val="17"/>
              </w:rPr>
              <w:t>Scale</w:t>
            </w:r>
          </w:p>
        </w:tc>
        <w:tc>
          <w:tcPr>
            <w:tcW w:type="dxa" w:w="3100"/>
            <w:vAlign w:val="center"/>
            <w:tcMar>
              <w:top w:w="80" w:type="dxa"/>
              <w:start w:w="120" w:type="dxa"/>
              <w:bottom w:w="80" w:type="dxa"/>
              <w:end w:w="120" w:type="dxa"/>
            </w:tcMar>
          </w:tcPr>
          <w:p>
            <w:pPr>
              <w:spacing w:before="0" w:after="20" w:line="252" w:lineRule="auto"/>
              <w:jc w:val="left"/>
            </w:pPr>
            <w:r>
              <w:rPr>
                <w:color w:val="1D2733"/>
                <w:sz w:val="17"/>
              </w:rPr>
              <w:t>Should it receive more capital and market exposure?</w:t>
            </w:r>
          </w:p>
        </w:tc>
        <w:tc>
          <w:tcPr>
            <w:tcW w:type="dxa" w:w="5010"/>
            <w:vAlign w:val="center"/>
            <w:tcMar>
              <w:top w:w="80" w:type="dxa"/>
              <w:start w:w="120" w:type="dxa"/>
              <w:bottom w:w="80" w:type="dxa"/>
              <w:end w:w="120" w:type="dxa"/>
            </w:tcMar>
          </w:tcPr>
          <w:p>
            <w:pPr>
              <w:spacing w:before="0" w:after="20" w:line="252" w:lineRule="auto"/>
              <w:jc w:val="left"/>
            </w:pPr>
            <w:r>
              <w:rPr>
                <w:color w:val="1D2733"/>
                <w:sz w:val="17"/>
              </w:rPr>
              <w:t>Adoption, retention, margin, service quality, risk and capacity data</w:t>
            </w:r>
          </w:p>
        </w:tc>
      </w:tr>
    </w:tbl>
    <w:p>
      <w:pPr>
        <w:pStyle w:val="Heading2"/>
      </w:pPr>
      <w:r>
        <w:t>Interpretation of Rihuum OS</w:t>
      </w:r>
    </w:p>
    <w:p>
      <w:r>
        <w:t>Rihuum OS is defined in this blueprint as Rihuum's unified enterprise and industry operating experience and product family. Its initial product is not a replacement for Windows, macOS, Linux, Android or iOS. It is the secure digital operating layer through which Rihuum and its clients use RME-powered workflows, records, business modules, subscriptions, intelligence, support and integrations. This definition creates a commercially credible starting point while preserving future options.</w:t>
      </w:r>
    </w:p>
    <w:p>
      <w:pPr>
        <w:pStyle w:val="Heading2"/>
      </w:pPr>
      <w:r>
        <w:t>Interpretation of Rihuum Master Enterprises</w:t>
      </w:r>
    </w:p>
    <w:p>
      <w:r>
        <w:t>Rihuum Master Enterprises (RME) is Rihuum's shared multi-tenant enterprise core and product control plane. RME 0.3 Configuration Centre governs manual registration of public identifiers, provider references, environment settings, activation evidence and safe feature state. Secret credentials remain protected server-side and outside public records.</w:t>
      </w:r>
    </w:p>
    <w:p>
      <w:pPr>
        <w:pStyle w:val="Heading1"/>
        <w:pageBreakBefore/>
      </w:pPr>
      <w:r>
        <w:t>Contents</w:t>
      </w:r>
    </w:p>
    <w:p>
      <w:pPr>
        <w:pStyle w:val="SmallNote"/>
      </w:pPr>
      <w:r>
        <w:t>The page references below reflect this final rendered document.</w:t>
      </w:r>
    </w:p>
    <w:p>
      <w:pPr>
        <w:tabs>
          <w:tab w:pos="9000" w:val="right" w:leader="dot"/>
        </w:tabs>
        <w:spacing w:before="0" w:after="80" w:line="252" w:lineRule="auto"/>
      </w:pPr>
      <w:r>
        <w:t>1. Executive Summary</w:t>
        <w:tab/>
        <w:t>8</w:t>
      </w:r>
    </w:p>
    <w:p>
      <w:pPr>
        <w:tabs>
          <w:tab w:pos="9000" w:val="right" w:leader="dot"/>
        </w:tabs>
        <w:spacing w:before="0" w:after="80" w:line="252" w:lineRule="auto"/>
      </w:pPr>
      <w:r>
        <w:t>2. Company Overview</w:t>
        <w:tab/>
        <w:t>10</w:t>
      </w:r>
    </w:p>
    <w:p>
      <w:pPr>
        <w:tabs>
          <w:tab w:pos="9000" w:val="right" w:leader="dot"/>
        </w:tabs>
        <w:spacing w:before="0" w:after="80" w:line="252" w:lineRule="auto"/>
      </w:pPr>
      <w:r>
        <w:t>3. Vision, Mission, Values, and Strategic Objectives</w:t>
        <w:tab/>
        <w:t>12</w:t>
      </w:r>
    </w:p>
    <w:p>
      <w:pPr>
        <w:tabs>
          <w:tab w:pos="9000" w:val="right" w:leader="dot"/>
        </w:tabs>
        <w:spacing w:before="0" w:after="80" w:line="252" w:lineRule="auto"/>
      </w:pPr>
      <w:r>
        <w:t>4. Corporate and Departmental Structure</w:t>
        <w:tab/>
        <w:t>14</w:t>
      </w:r>
    </w:p>
    <w:p>
      <w:pPr>
        <w:tabs>
          <w:tab w:pos="9000" w:val="right" w:leader="dot"/>
        </w:tabs>
        <w:spacing w:before="0" w:after="80" w:line="252" w:lineRule="auto"/>
      </w:pPr>
      <w:r>
        <w:t>5. Brand and Domain Strategy</w:t>
        <w:tab/>
        <w:t>16</w:t>
      </w:r>
    </w:p>
    <w:p>
      <w:pPr>
        <w:tabs>
          <w:tab w:pos="9000" w:val="right" w:leader="dot"/>
        </w:tabs>
        <w:spacing w:before="0" w:after="80" w:line="252" w:lineRule="auto"/>
      </w:pPr>
      <w:r>
        <w:t>6. Products, Services, and Business Units</w:t>
        <w:tab/>
        <w:t>18</w:t>
      </w:r>
    </w:p>
    <w:p>
      <w:pPr>
        <w:tabs>
          <w:tab w:pos="9000" w:val="right" w:leader="dot"/>
        </w:tabs>
        <w:spacing w:before="0" w:after="80" w:line="252" w:lineRule="auto"/>
      </w:pPr>
      <w:r>
        <w:t>7. Technology Architecture</w:t>
        <w:tab/>
        <w:t>21</w:t>
      </w:r>
    </w:p>
    <w:p>
      <w:pPr>
        <w:tabs>
          <w:tab w:pos="9000" w:val="right" w:leader="dot"/>
        </w:tabs>
        <w:spacing w:before="0" w:after="80" w:line="252" w:lineRule="auto"/>
      </w:pPr>
      <w:r>
        <w:t>8. Software Development Framework</w:t>
        <w:tab/>
        <w:t>24</w:t>
      </w:r>
    </w:p>
    <w:p>
      <w:pPr>
        <w:tabs>
          <w:tab w:pos="9000" w:val="right" w:leader="dot"/>
        </w:tabs>
        <w:spacing w:before="0" w:after="80" w:line="252" w:lineRule="auto"/>
      </w:pPr>
      <w:r>
        <w:t>9. Product Roadmap</w:t>
        <w:tab/>
        <w:t>26</w:t>
      </w:r>
    </w:p>
    <w:p>
      <w:pPr>
        <w:tabs>
          <w:tab w:pos="9000" w:val="right" w:leader="dot"/>
        </w:tabs>
        <w:spacing w:before="0" w:after="80" w:line="252" w:lineRule="auto"/>
      </w:pPr>
      <w:r>
        <w:t>10. AI, Machine Learning, Data Science, and Automation Strategy</w:t>
        <w:tab/>
        <w:t>28</w:t>
      </w:r>
    </w:p>
    <w:p>
      <w:pPr>
        <w:tabs>
          <w:tab w:pos="9000" w:val="right" w:leader="dot"/>
        </w:tabs>
        <w:spacing w:before="0" w:after="80" w:line="252" w:lineRule="auto"/>
      </w:pPr>
      <w:r>
        <w:t>11. Cybersecurity and Data-Protection Framework</w:t>
        <w:tab/>
        <w:t>31</w:t>
      </w:r>
    </w:p>
    <w:p>
      <w:pPr>
        <w:tabs>
          <w:tab w:pos="9000" w:val="right" w:leader="dot"/>
        </w:tabs>
        <w:spacing w:before="0" w:after="80" w:line="252" w:lineRule="auto"/>
      </w:pPr>
      <w:r>
        <w:t>12. Hosting, Infrastructure, and Migration Strategy</w:t>
        <w:tab/>
        <w:t>33</w:t>
      </w:r>
    </w:p>
    <w:p>
      <w:pPr>
        <w:tabs>
          <w:tab w:pos="9000" w:val="right" w:leader="dot"/>
        </w:tabs>
        <w:spacing w:before="0" w:after="80" w:line="252" w:lineRule="auto"/>
      </w:pPr>
      <w:r>
        <w:t>13. Development, Testing, Staging, and Production Processes</w:t>
        <w:tab/>
        <w:t>35</w:t>
      </w:r>
    </w:p>
    <w:p>
      <w:pPr>
        <w:tabs>
          <w:tab w:pos="9000" w:val="right" w:leader="dot"/>
        </w:tabs>
        <w:spacing w:before="0" w:after="80" w:line="252" w:lineRule="auto"/>
      </w:pPr>
      <w:r>
        <w:t>14. Version Control and Release Management</w:t>
        <w:tab/>
        <w:t>37</w:t>
      </w:r>
    </w:p>
    <w:p>
      <w:pPr>
        <w:tabs>
          <w:tab w:pos="9000" w:val="right" w:leader="dot"/>
        </w:tabs>
        <w:spacing w:before="0" w:after="80" w:line="252" w:lineRule="auto"/>
      </w:pPr>
      <w:r>
        <w:t>15. Feature-Development Framework</w:t>
        <w:tab/>
        <w:t>39</w:t>
      </w:r>
    </w:p>
    <w:p>
      <w:pPr>
        <w:pStyle w:val="Heading2"/>
        <w:pageBreakBefore/>
      </w:pPr>
      <w:r>
        <w:t>Contents - continued</w:t>
      </w:r>
    </w:p>
    <w:p>
      <w:pPr>
        <w:pStyle w:val="SmallNote"/>
      </w:pPr>
      <w:r>
        <w:t>The page references below reflect this final rendered document.</w:t>
      </w:r>
    </w:p>
    <w:p>
      <w:pPr>
        <w:tabs>
          <w:tab w:pos="9000" w:val="right" w:leader="dot"/>
        </w:tabs>
        <w:spacing w:before="0" w:after="80" w:line="252" w:lineRule="auto"/>
      </w:pPr>
      <w:r>
        <w:t>16. Feature Updates and Upgrades</w:t>
        <w:tab/>
        <w:t>41</w:t>
      </w:r>
    </w:p>
    <w:p>
      <w:pPr>
        <w:tabs>
          <w:tab w:pos="9000" w:val="right" w:leader="dot"/>
        </w:tabs>
        <w:spacing w:before="0" w:after="80" w:line="252" w:lineRule="auto"/>
      </w:pPr>
      <w:r>
        <w:t>17. New Feature Releases</w:t>
        <w:tab/>
        <w:t>42</w:t>
      </w:r>
    </w:p>
    <w:p>
      <w:pPr>
        <w:tabs>
          <w:tab w:pos="9000" w:val="right" w:leader="dot"/>
        </w:tabs>
        <w:spacing w:before="0" w:after="80" w:line="252" w:lineRule="auto"/>
      </w:pPr>
      <w:r>
        <w:t>18. Software Versioning</w:t>
        <w:tab/>
        <w:t>43</w:t>
      </w:r>
    </w:p>
    <w:p>
      <w:pPr>
        <w:tabs>
          <w:tab w:pos="9000" w:val="right" w:leader="dot"/>
        </w:tabs>
        <w:spacing w:before="0" w:after="80" w:line="252" w:lineRule="auto"/>
      </w:pPr>
      <w:r>
        <w:t>19. Database and System Migrations</w:t>
        <w:tab/>
        <w:t>44</w:t>
      </w:r>
    </w:p>
    <w:p>
      <w:pPr>
        <w:tabs>
          <w:tab w:pos="9000" w:val="right" w:leader="dot"/>
        </w:tabs>
        <w:spacing w:before="0" w:after="80" w:line="252" w:lineRule="auto"/>
      </w:pPr>
      <w:r>
        <w:t>20. Backup, Rollback, Recovery, and Disaster-Management Procedures</w:t>
        <w:tab/>
        <w:t>46</w:t>
      </w:r>
    </w:p>
    <w:p>
      <w:pPr>
        <w:tabs>
          <w:tab w:pos="9000" w:val="right" w:leader="dot"/>
        </w:tabs>
        <w:spacing w:before="0" w:after="80" w:line="252" w:lineRule="auto"/>
      </w:pPr>
      <w:r>
        <w:t>21. Maintenance and Technical-Support Framework</w:t>
        <w:tab/>
        <w:t>48</w:t>
      </w:r>
    </w:p>
    <w:p>
      <w:pPr>
        <w:tabs>
          <w:tab w:pos="9000" w:val="right" w:leader="dot"/>
        </w:tabs>
        <w:spacing w:before="0" w:after="80" w:line="252" w:lineRule="auto"/>
      </w:pPr>
      <w:r>
        <w:t>22. Quality Assurance and Software-Testing Procedures</w:t>
        <w:tab/>
        <w:t>50</w:t>
      </w:r>
    </w:p>
    <w:p>
      <w:pPr>
        <w:tabs>
          <w:tab w:pos="9000" w:val="right" w:leader="dot"/>
        </w:tabs>
        <w:spacing w:before="0" w:after="80" w:line="252" w:lineRule="auto"/>
      </w:pPr>
      <w:r>
        <w:t>23. Documentation and Change-Management Processes</w:t>
        <w:tab/>
        <w:t>52</w:t>
      </w:r>
    </w:p>
    <w:p>
      <w:pPr>
        <w:tabs>
          <w:tab w:pos="9000" w:val="right" w:leader="dot"/>
        </w:tabs>
        <w:spacing w:before="0" w:after="80" w:line="252" w:lineRule="auto"/>
      </w:pPr>
      <w:r>
        <w:t>24. Emerging Technologies and Market Opportunities</w:t>
        <w:tab/>
        <w:t>54</w:t>
      </w:r>
    </w:p>
    <w:p>
      <w:pPr>
        <w:tabs>
          <w:tab w:pos="9000" w:val="right" w:leader="dot"/>
        </w:tabs>
        <w:spacing w:before="0" w:after="80" w:line="252" w:lineRule="auto"/>
      </w:pPr>
      <w:r>
        <w:t>25. Technology Research and Innovation Roadmap</w:t>
        <w:tab/>
        <w:t>56</w:t>
      </w:r>
    </w:p>
    <w:p>
      <w:pPr>
        <w:tabs>
          <w:tab w:pos="9000" w:val="right" w:leader="dot"/>
        </w:tabs>
        <w:spacing w:before="0" w:after="80" w:line="252" w:lineRule="auto"/>
      </w:pPr>
      <w:r>
        <w:t>26. Market Expansion and Commercialisation Strategy</w:t>
        <w:tab/>
        <w:t>57</w:t>
      </w:r>
    </w:p>
    <w:p>
      <w:pPr>
        <w:tabs>
          <w:tab w:pos="9000" w:val="right" w:leader="dot"/>
        </w:tabs>
        <w:spacing w:before="0" w:after="80" w:line="252" w:lineRule="auto"/>
      </w:pPr>
      <w:r>
        <w:t>27. Pricing, Licensing, Subscription, and Revenue Models</w:t>
        <w:tab/>
        <w:t>59</w:t>
      </w:r>
    </w:p>
    <w:p>
      <w:pPr>
        <w:tabs>
          <w:tab w:pos="9000" w:val="right" w:leader="dot"/>
        </w:tabs>
        <w:spacing w:before="0" w:after="80" w:line="252" w:lineRule="auto"/>
      </w:pPr>
      <w:r>
        <w:t>28. Client Onboarding and Deployment Procedures</w:t>
        <w:tab/>
        <w:t>61</w:t>
      </w:r>
    </w:p>
    <w:p>
      <w:pPr>
        <w:tabs>
          <w:tab w:pos="9000" w:val="right" w:leader="dot"/>
        </w:tabs>
        <w:spacing w:before="0" w:after="80" w:line="252" w:lineRule="auto"/>
      </w:pPr>
      <w:r>
        <w:t>29. Staff Recruitment, Training, and Performance Management</w:t>
        <w:tab/>
        <w:t>63</w:t>
      </w:r>
    </w:p>
    <w:p>
      <w:pPr>
        <w:tabs>
          <w:tab w:pos="9000" w:val="right" w:leader="dot"/>
        </w:tabs>
        <w:spacing w:before="0" w:after="80" w:line="252" w:lineRule="auto"/>
      </w:pPr>
      <w:r>
        <w:t>30. Risk Management and Business Continuity</w:t>
        <w:tab/>
        <w:t>65</w:t>
      </w:r>
    </w:p>
    <w:p>
      <w:pPr>
        <w:pStyle w:val="Heading2"/>
        <w:pageBreakBefore/>
      </w:pPr>
      <w:r>
        <w:t>Contents - continued</w:t>
      </w:r>
    </w:p>
    <w:p>
      <w:pPr>
        <w:pStyle w:val="SmallNote"/>
      </w:pPr>
      <w:r>
        <w:t>The page references below reflect this final rendered document.</w:t>
      </w:r>
    </w:p>
    <w:p>
      <w:pPr>
        <w:tabs>
          <w:tab w:pos="9000" w:val="right" w:leader="dot"/>
        </w:tabs>
        <w:spacing w:before="0" w:after="80" w:line="252" w:lineRule="auto"/>
      </w:pPr>
      <w:r>
        <w:t>31. Legal, Regulatory, and Compliance Requirements</w:t>
        <w:tab/>
        <w:t>67</w:t>
      </w:r>
    </w:p>
    <w:p>
      <w:pPr>
        <w:tabs>
          <w:tab w:pos="9000" w:val="right" w:leader="dot"/>
        </w:tabs>
        <w:spacing w:before="0" w:after="80" w:line="252" w:lineRule="auto"/>
      </w:pPr>
      <w:r>
        <w:t>32. Financial and Investment Planning</w:t>
        <w:tab/>
        <w:t>69</w:t>
      </w:r>
    </w:p>
    <w:p>
      <w:pPr>
        <w:tabs>
          <w:tab w:pos="9000" w:val="right" w:leader="dot"/>
        </w:tabs>
        <w:spacing w:before="0" w:after="80" w:line="252" w:lineRule="auto"/>
      </w:pPr>
      <w:r>
        <w:t>33. Marketing, Branding, and Customer-Acquisition Strategy</w:t>
        <w:tab/>
        <w:t>71</w:t>
      </w:r>
    </w:p>
    <w:p>
      <w:pPr>
        <w:tabs>
          <w:tab w:pos="9000" w:val="right" w:leader="dot"/>
        </w:tabs>
        <w:spacing w:before="0" w:after="80" w:line="252" w:lineRule="auto"/>
      </w:pPr>
      <w:r>
        <w:t>34. Key Performance Indicators and Reporting Framework</w:t>
        <w:tab/>
        <w:t>73</w:t>
      </w:r>
    </w:p>
    <w:p>
      <w:pPr>
        <w:tabs>
          <w:tab w:pos="9000" w:val="right" w:leader="dot"/>
        </w:tabs>
        <w:spacing w:before="0" w:after="80" w:line="252" w:lineRule="auto"/>
      </w:pPr>
      <w:r>
        <w:t>35. Implementation Phases, Timelines, and Milestones</w:t>
        <w:tab/>
        <w:t>75</w:t>
      </w:r>
    </w:p>
    <w:p>
      <w:pPr>
        <w:tabs>
          <w:tab w:pos="9000" w:val="right" w:leader="dot"/>
        </w:tabs>
        <w:spacing w:before="0" w:after="80" w:line="252" w:lineRule="auto"/>
      </w:pPr>
      <w:r>
        <w:t>36. Short-, Medium-, and Long-Term Growth Plans</w:t>
        <w:tab/>
        <w:t>77</w:t>
      </w:r>
    </w:p>
    <w:p>
      <w:pPr>
        <w:tabs>
          <w:tab w:pos="9000" w:val="right" w:leader="dot"/>
        </w:tabs>
      </w:pPr>
      <w:r>
        <w:t>37. RAHIS Hospitality Platform and Digital Ecosystem Expansion</w:t>
        <w:tab/>
        <w:t>79</w:t>
      </w:r>
    </w:p>
    <w:p>
      <w:pPr>
        <w:tabs>
          <w:tab w:pos="9000" w:val="right" w:leader="dot"/>
        </w:tabs>
        <w:spacing w:before="0" w:after="80" w:line="252" w:lineRule="auto"/>
      </w:pPr>
      <w:r>
        <w:t>38. Rihuum Sentinel AI Cybersecurity Suite and Integrated Defence Platform</w:t>
        <w:tab/>
        <w:t>91</w:t>
      </w:r>
    </w:p>
    <w:p>
      <w:pPr>
        <w:tabs>
          <w:tab w:pos="9000" w:val="right" w:leader="dot"/>
        </w:tabs>
        <w:spacing w:before="0" w:after="80" w:line="252" w:lineRule="auto"/>
      </w:pPr>
      <w:r>
        <w:t>Appendix A. First 90-Day Action Register</w:t>
        <w:tab/>
        <w:t>98</w:t>
      </w:r>
    </w:p>
    <w:p>
      <w:pPr>
        <w:tabs>
          <w:tab w:pos="9000" w:val="right" w:leader="dot"/>
        </w:tabs>
        <w:spacing w:before="0" w:after="80" w:line="252" w:lineRule="auto"/>
      </w:pPr>
      <w:r>
        <w:t>Appendix B. Governance and RACI Matrix</w:t>
        <w:tab/>
        <w:t>100</w:t>
      </w:r>
    </w:p>
    <w:p>
      <w:pPr>
        <w:tabs>
          <w:tab w:pos="9000" w:val="right" w:leader="dot"/>
        </w:tabs>
        <w:spacing w:before="0" w:after="80" w:line="252" w:lineRule="auto"/>
      </w:pPr>
      <w:r>
        <w:t>Appendix C. Architecture Principles and Decision Standards</w:t>
        <w:tab/>
        <w:t>101</w:t>
      </w:r>
    </w:p>
    <w:p>
      <w:pPr>
        <w:tabs>
          <w:tab w:pos="9000" w:val="right" w:leader="dot"/>
        </w:tabs>
        <w:spacing w:before="0" w:after="80" w:line="252" w:lineRule="auto"/>
      </w:pPr>
      <w:r>
        <w:t>Appendix D. Policy, Process, and Documentation Register</w:t>
        <w:tab/>
        <w:t>102</w:t>
      </w:r>
    </w:p>
    <w:p>
      <w:pPr>
        <w:tabs>
          <w:tab w:pos="9000" w:val="right" w:leader="dot"/>
        </w:tabs>
        <w:spacing w:before="0" w:after="80" w:line="252" w:lineRule="auto"/>
      </w:pPr>
      <w:r>
        <w:t>Appendix E. Source and Evidence Register</w:t>
        <w:tab/>
        <w:t>103</w:t>
      </w:r>
    </w:p>
    <w:p>
      <w:pPr>
        <w:tabs>
          <w:tab w:pos="9000" w:val="right" w:leader="dot"/>
        </w:tabs>
        <w:spacing w:before="0" w:after="80" w:line="252" w:lineRule="auto"/>
      </w:pPr>
      <w:r>
        <w:t>Appendix F. Glossary</w:t>
        <w:tab/>
        <w:t>104</w:t>
      </w:r>
    </w:p>
    <w:p>
      <w:pPr>
        <w:tabs>
          <w:tab w:pos="9000" w:val="right" w:leader="dot"/>
        </w:tabs>
        <w:spacing w:before="0" w:after="80" w:line="252" w:lineRule="auto"/>
      </w:pPr>
      <w:r>
        <w:t>Appendix G. Open Decisions and Verification Register</w:t>
        <w:tab/>
        <w:t>106</w:t>
      </w:r>
    </w:p>
    <w:p>
      <w:pPr>
        <w:tabs>
          <w:tab w:pos="9000" w:val="right" w:leader="dot"/>
        </w:tabs>
        <w:spacing w:before="0" w:after="80" w:line="252" w:lineRule="auto"/>
      </w:pPr>
      <w:r>
        <w:t>Appendix H. Nigeria and Africa Market and Portfolio Expansion</w:t>
        <w:tab/>
        <w:t>108</w:t>
      </w:r>
    </w:p>
    <w:p>
      <w:pPr>
        <w:tabs>
          <w:tab w:pos="9000" w:val="right" w:leader="dot"/>
        </w:tabs>
        <w:spacing w:before="0" w:after="80" w:line="252" w:lineRule="auto"/>
      </w:pPr>
      <w:r>
        <w:t>Appendix I. Corporate Communications, Email and Visual Media Register</w:t>
        <w:tab/>
        <w:t>112</w:t>
      </w:r>
    </w:p>
    <w:p>
      <w:bookmarkStart w:id="1" w:name="sec01"/>
      <w:pPr>
        <w:pStyle w:val="Heading1"/>
        <w:keepNext/>
        <w:pageBreakBefore/>
      </w:pPr>
      <w:r>
        <w:t>SECTION 01 | Executive Summary</w:t>
      </w:r>
      <w:bookmarkEnd w:id="1"/>
    </w:p>
    <w:p>
      <w:pPr>
        <w:pStyle w:val="LeadCallout"/>
        <w:shd w:fill="F4F6F9"/>
        <w:pBdr>
          <w:left w:val="single" w:sz="18" w:space="8" w:color="C99A2E"/>
        </w:pBdr>
      </w:pPr>
      <w:r>
        <w:rPr>
          <w:b/>
          <w:color w:val="102A43"/>
        </w:rPr>
        <w:t xml:space="preserve">Strategic conclusion: </w:t>
      </w:r>
      <w:r>
        <w:t>Rihuum should operate as one technology-first company with a disciplined portfolio of connected business units, not as a collection of unrelated services. Rihuum Master Enterprises becomes the shared enterprise core that powers Rihuum OS and every authorised product; the three domains become distinct digital front doors; and Rihuum Intelligence Architecture governs every AI and Agentic AI capability.</w:t>
      </w:r>
    </w:p>
    <w:p>
      <w:r>
        <w:t>Rihuum Intercontinental Limited has the breadth to serve enterprises, governments, SMEs, startups, education, hospitality, logistics, agriculture, healthcare, financial services, manufacturing and other sectors. Breadth is valuable only when it is supported by a common operating model. This blueprint therefore separates the company into market-facing business units while centralising brand, identity, security, data, product engineering, finance, people, legal, customer success and technology governance.</w:t>
      </w:r>
    </w:p>
    <w:p>
      <w:r>
        <w:t>The recommended technical foundation is a portable modular monolith for the first production version of Rihuum Master Enterprises, with Rihuum OS and authorised products consuming its shared capabilities through explicit module, API and event contracts. This is the most practical architecture for the current Namecheap shared-hosting constraint because it minimises operational complexity while preserving boundaries, migrations and deployment contracts. Components should become independent services only when measured scale, isolation, compliance, availability or team ownership requires separation.</w:t>
      </w:r>
    </w:p>
    <w:p>
      <w:pPr>
        <w:pStyle w:val="Heading2"/>
      </w:pPr>
      <w:r>
        <w:t>The six enterprise decisions</w:t>
      </w:r>
    </w:p>
    <w:p>
      <w:pPr>
        <w:pStyle w:val="Caption"/>
      </w:pPr>
      <w:r>
        <w:t>Table 4. Decisions that define the Rihuum foundation</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800"/>
        <w:gridCol w:w="4350"/>
        <w:gridCol w:w="3210"/>
      </w:tblGrid>
      <w:tr>
        <w:trPr>
          <w:tblHeader w:val="true"/>
          <w:cantSplit/>
        </w:trPr>
        <w:tc>
          <w:tcPr>
            <w:tcW w:type="dxa" w:w="1800"/>
            <w:vAlign w:val="center"/>
            <w:shd w:fill="F2F4F7"/>
            <w:tcMar>
              <w:top w:w="80" w:type="dxa"/>
              <w:start w:w="120" w:type="dxa"/>
              <w:bottom w:w="80" w:type="dxa"/>
              <w:end w:w="120" w:type="dxa"/>
            </w:tcMar>
          </w:tcPr>
          <w:p>
            <w:pPr>
              <w:spacing w:before="0" w:after="0"/>
              <w:jc w:val="center"/>
            </w:pPr>
            <w:r>
              <w:rPr>
                <w:b/>
                <w:color w:val="102A43"/>
                <w:sz w:val="18"/>
              </w:rPr>
              <w:t>Decision</w:t>
            </w:r>
          </w:p>
        </w:tc>
        <w:tc>
          <w:tcPr>
            <w:tcW w:type="dxa" w:w="4350"/>
            <w:vAlign w:val="center"/>
            <w:shd w:fill="F2F4F7"/>
            <w:tcMar>
              <w:top w:w="80" w:type="dxa"/>
              <w:start w:w="120" w:type="dxa"/>
              <w:bottom w:w="80" w:type="dxa"/>
              <w:end w:w="120" w:type="dxa"/>
            </w:tcMar>
          </w:tcPr>
          <w:p>
            <w:pPr>
              <w:spacing w:before="0" w:after="0"/>
              <w:jc w:val="left"/>
            </w:pPr>
            <w:r>
              <w:rPr>
                <w:b/>
                <w:color w:val="102A43"/>
                <w:sz w:val="18"/>
              </w:rPr>
              <w:t>Approved direction</w:t>
            </w:r>
          </w:p>
        </w:tc>
        <w:tc>
          <w:tcPr>
            <w:tcW w:type="dxa" w:w="3210"/>
            <w:vAlign w:val="center"/>
            <w:shd w:fill="F2F4F7"/>
            <w:tcMar>
              <w:top w:w="80" w:type="dxa"/>
              <w:start w:w="120" w:type="dxa"/>
              <w:bottom w:w="80" w:type="dxa"/>
              <w:end w:w="120" w:type="dxa"/>
            </w:tcMar>
          </w:tcPr>
          <w:p>
            <w:pPr>
              <w:spacing w:before="0" w:after="0"/>
              <w:jc w:val="center"/>
            </w:pPr>
            <w:r>
              <w:rPr>
                <w:b/>
                <w:color w:val="102A43"/>
                <w:sz w:val="18"/>
              </w:rPr>
              <w:t>Business result</w:t>
            </w:r>
          </w:p>
        </w:tc>
      </w:tr>
      <w:tr>
        <w:trPr>
          <w:cantSplit/>
        </w:trPr>
        <w:tc>
          <w:tcPr>
            <w:tcW w:type="dxa" w:w="1800"/>
            <w:vAlign w:val="center"/>
            <w:tcMar>
              <w:top w:w="80" w:type="dxa"/>
              <w:start w:w="120" w:type="dxa"/>
              <w:bottom w:w="80" w:type="dxa"/>
              <w:end w:w="120" w:type="dxa"/>
            </w:tcMar>
          </w:tcPr>
          <w:p>
            <w:pPr>
              <w:spacing w:before="0" w:after="20" w:line="252" w:lineRule="auto"/>
              <w:jc w:val="left"/>
            </w:pPr>
            <w:r>
              <w:rPr>
                <w:color w:val="1D2733"/>
                <w:sz w:val="17"/>
              </w:rPr>
              <w:t>One company, managed portfolio</w:t>
            </w:r>
          </w:p>
        </w:tc>
        <w:tc>
          <w:tcPr>
            <w:tcW w:type="dxa" w:w="4350"/>
            <w:vAlign w:val="center"/>
            <w:tcMar>
              <w:top w:w="80" w:type="dxa"/>
              <w:start w:w="120" w:type="dxa"/>
              <w:bottom w:w="80" w:type="dxa"/>
              <w:end w:w="120" w:type="dxa"/>
            </w:tcMar>
          </w:tcPr>
          <w:p>
            <w:pPr>
              <w:spacing w:before="0" w:after="20" w:line="252" w:lineRule="auto"/>
              <w:jc w:val="left"/>
            </w:pPr>
            <w:r>
              <w:rPr>
                <w:color w:val="1D2733"/>
                <w:sz w:val="17"/>
              </w:rPr>
              <w:t>All units share governance, platform services, data rules and commercial standards.</w:t>
            </w:r>
          </w:p>
        </w:tc>
        <w:tc>
          <w:tcPr>
            <w:tcW w:type="dxa" w:w="3210"/>
            <w:vAlign w:val="center"/>
            <w:tcMar>
              <w:top w:w="80" w:type="dxa"/>
              <w:start w:w="120" w:type="dxa"/>
              <w:bottom w:w="80" w:type="dxa"/>
              <w:end w:w="120" w:type="dxa"/>
            </w:tcMar>
          </w:tcPr>
          <w:p>
            <w:pPr>
              <w:spacing w:before="0" w:after="20" w:line="252" w:lineRule="auto"/>
              <w:jc w:val="left"/>
            </w:pPr>
            <w:r>
              <w:rPr>
                <w:color w:val="1D2733"/>
                <w:sz w:val="17"/>
              </w:rPr>
              <w:t>Lower duplication; a coherent client proposition.</w:t>
            </w:r>
          </w:p>
        </w:tc>
      </w:tr>
      <w:tr>
        <w:trPr>
          <w:cantSplit/>
        </w:trPr>
        <w:tc>
          <w:tcPr>
            <w:tcW w:type="dxa" w:w="1800"/>
            <w:vAlign w:val="center"/>
            <w:shd w:fill="FAFBFC"/>
            <w:tcMar>
              <w:top w:w="80" w:type="dxa"/>
              <w:start w:w="120" w:type="dxa"/>
              <w:bottom w:w="80" w:type="dxa"/>
              <w:end w:w="120" w:type="dxa"/>
            </w:tcMar>
          </w:tcPr>
          <w:p>
            <w:pPr>
              <w:spacing w:before="0" w:after="20" w:line="252" w:lineRule="auto"/>
              <w:jc w:val="left"/>
            </w:pPr>
            <w:r>
              <w:rPr>
                <w:color w:val="1D2733"/>
                <w:sz w:val="17"/>
              </w:rPr>
              <w:t>Three-domain ecosystem</w:t>
            </w:r>
          </w:p>
        </w:tc>
        <w:tc>
          <w:tcPr>
            <w:tcW w:type="dxa" w:w="4350"/>
            <w:vAlign w:val="center"/>
            <w:shd w:fill="FAFBFC"/>
            <w:tcMar>
              <w:top w:w="80" w:type="dxa"/>
              <w:start w:w="120" w:type="dxa"/>
              <w:bottom w:w="80" w:type="dxa"/>
              <w:end w:w="120" w:type="dxa"/>
            </w:tcMar>
          </w:tcPr>
          <w:p>
            <w:pPr>
              <w:spacing w:before="0" w:after="20" w:line="252" w:lineRule="auto"/>
              <w:jc w:val="left"/>
            </w:pPr>
            <w:r>
              <w:rPr>
                <w:color w:val="1D2733"/>
                <w:sz w:val="17"/>
              </w:rPr>
              <w:t>rihuum.com for corporate trust; rihuum.tech for products, AI and the Academy; rihuum.net for operations, support and infrastructure.</w:t>
            </w:r>
          </w:p>
        </w:tc>
        <w:tc>
          <w:tcPr>
            <w:tcW w:type="dxa" w:w="3210"/>
            <w:vAlign w:val="center"/>
            <w:shd w:fill="FAFBFC"/>
            <w:tcMar>
              <w:top w:w="80" w:type="dxa"/>
              <w:start w:w="120" w:type="dxa"/>
              <w:bottom w:w="80" w:type="dxa"/>
              <w:end w:w="120" w:type="dxa"/>
            </w:tcMar>
          </w:tcPr>
          <w:p>
            <w:pPr>
              <w:spacing w:before="0" w:after="20" w:line="252" w:lineRule="auto"/>
              <w:jc w:val="left"/>
            </w:pPr>
            <w:r>
              <w:rPr>
                <w:color w:val="1D2733"/>
                <w:sz w:val="17"/>
              </w:rPr>
              <w:t>Clear journeys with one brand and shared analytics.</w:t>
            </w:r>
          </w:p>
        </w:tc>
      </w:tr>
      <w:tr>
        <w:trPr>
          <w:cantSplit/>
        </w:trPr>
        <w:tc>
          <w:tcPr>
            <w:tcW w:type="dxa" w:w="1800"/>
            <w:vAlign w:val="center"/>
            <w:tcMar>
              <w:top w:w="80" w:type="dxa"/>
              <w:start w:w="120" w:type="dxa"/>
              <w:bottom w:w="80" w:type="dxa"/>
              <w:end w:w="120" w:type="dxa"/>
            </w:tcMar>
          </w:tcPr>
          <w:p>
            <w:pPr>
              <w:spacing w:before="0" w:after="20" w:line="252" w:lineRule="auto"/>
              <w:jc w:val="left"/>
            </w:pPr>
            <w:r>
              <w:rPr>
                <w:color w:val="1D2733"/>
                <w:sz w:val="17"/>
              </w:rPr>
              <w:t>RME-powered Rihuum OS</w:t>
            </w:r>
          </w:p>
        </w:tc>
        <w:tc>
          <w:tcPr>
            <w:tcW w:type="dxa" w:w="4350"/>
            <w:vAlign w:val="center"/>
            <w:tcMar>
              <w:top w:w="80" w:type="dxa"/>
              <w:start w:w="120" w:type="dxa"/>
              <w:bottom w:w="80" w:type="dxa"/>
              <w:end w:w="120" w:type="dxa"/>
            </w:tcMar>
          </w:tcPr>
          <w:p>
            <w:pPr>
              <w:spacing w:before="0" w:after="20" w:line="252" w:lineRule="auto"/>
              <w:jc w:val="left"/>
            </w:pPr>
            <w:r>
              <w:rPr>
                <w:color w:val="1D2733"/>
                <w:sz w:val="17"/>
              </w:rPr>
              <w:t>Build RME as the shared multi-tenant enterprise core, then deliver Rihuum OS as the unified operating experience and product family above it.</w:t>
            </w:r>
          </w:p>
        </w:tc>
        <w:tc>
          <w:tcPr>
            <w:tcW w:type="dxa" w:w="3210"/>
            <w:vAlign w:val="center"/>
            <w:tcMar>
              <w:top w:w="80" w:type="dxa"/>
              <w:start w:w="120" w:type="dxa"/>
              <w:bottom w:w="80" w:type="dxa"/>
              <w:end w:w="120" w:type="dxa"/>
            </w:tcMar>
          </w:tcPr>
          <w:p>
            <w:pPr>
              <w:spacing w:before="0" w:after="20" w:line="252" w:lineRule="auto"/>
              <w:jc w:val="left"/>
            </w:pPr>
            <w:r>
              <w:rPr>
                <w:color w:val="1D2733"/>
                <w:sz w:val="17"/>
              </w:rPr>
              <w:t>One reusable foundation, faster products and recurring revenue.</w:t>
            </w:r>
          </w:p>
        </w:tc>
      </w:tr>
      <w:tr>
        <w:trPr>
          <w:cantSplit/>
        </w:trPr>
        <w:tc>
          <w:tcPr>
            <w:tcW w:type="dxa" w:w="1800"/>
            <w:vAlign w:val="center"/>
            <w:shd w:fill="FAFBFC"/>
            <w:tcMar>
              <w:top w:w="80" w:type="dxa"/>
              <w:start w:w="120" w:type="dxa"/>
              <w:bottom w:w="80" w:type="dxa"/>
              <w:end w:w="120" w:type="dxa"/>
            </w:tcMar>
          </w:tcPr>
          <w:p>
            <w:pPr>
              <w:spacing w:before="0" w:after="20" w:line="252" w:lineRule="auto"/>
              <w:jc w:val="left"/>
            </w:pPr>
            <w:r>
              <w:rPr>
                <w:color w:val="1D2733"/>
                <w:sz w:val="17"/>
              </w:rPr>
              <w:t>Governed Agentic AI</w:t>
            </w:r>
          </w:p>
        </w:tc>
        <w:tc>
          <w:tcPr>
            <w:tcW w:type="dxa" w:w="4350"/>
            <w:vAlign w:val="center"/>
            <w:shd w:fill="FAFBFC"/>
            <w:tcMar>
              <w:top w:w="80" w:type="dxa"/>
              <w:start w:w="120" w:type="dxa"/>
              <w:bottom w:w="80" w:type="dxa"/>
              <w:end w:w="120" w:type="dxa"/>
            </w:tcMar>
          </w:tcPr>
          <w:p>
            <w:pPr>
              <w:spacing w:before="0" w:after="20" w:line="252" w:lineRule="auto"/>
              <w:jc w:val="left"/>
            </w:pPr>
            <w:r>
              <w:rPr>
                <w:color w:val="1D2733"/>
                <w:sz w:val="17"/>
              </w:rPr>
              <w:t>Use RIA to control models, knowledge, tools, memory, approvals, evaluation and audit.</w:t>
            </w:r>
          </w:p>
        </w:tc>
        <w:tc>
          <w:tcPr>
            <w:tcW w:type="dxa" w:w="3210"/>
            <w:vAlign w:val="center"/>
            <w:shd w:fill="FAFBFC"/>
            <w:tcMar>
              <w:top w:w="80" w:type="dxa"/>
              <w:start w:w="120" w:type="dxa"/>
              <w:bottom w:w="80" w:type="dxa"/>
              <w:end w:w="120" w:type="dxa"/>
            </w:tcMar>
          </w:tcPr>
          <w:p>
            <w:pPr>
              <w:spacing w:before="0" w:after="20" w:line="252" w:lineRule="auto"/>
              <w:jc w:val="left"/>
            </w:pPr>
            <w:r>
              <w:rPr>
                <w:color w:val="1D2733"/>
                <w:sz w:val="17"/>
              </w:rPr>
              <w:t>AI value without uncontrolled autonomy.</w:t>
            </w:r>
          </w:p>
        </w:tc>
      </w:tr>
      <w:tr>
        <w:trPr>
          <w:cantSplit/>
        </w:trPr>
        <w:tc>
          <w:tcPr>
            <w:tcW w:type="dxa" w:w="1800"/>
            <w:vAlign w:val="center"/>
            <w:tcMar>
              <w:top w:w="80" w:type="dxa"/>
              <w:start w:w="120" w:type="dxa"/>
              <w:bottom w:w="80" w:type="dxa"/>
              <w:end w:w="120" w:type="dxa"/>
            </w:tcMar>
          </w:tcPr>
          <w:p>
            <w:pPr>
              <w:spacing w:before="0" w:after="20" w:line="252" w:lineRule="auto"/>
              <w:jc w:val="left"/>
            </w:pPr>
            <w:r>
              <w:rPr>
                <w:color w:val="1D2733"/>
                <w:sz w:val="17"/>
              </w:rPr>
              <w:t>Portable delivery</w:t>
            </w:r>
          </w:p>
        </w:tc>
        <w:tc>
          <w:tcPr>
            <w:tcW w:type="dxa" w:w="4350"/>
            <w:vAlign w:val="center"/>
            <w:tcMar>
              <w:top w:w="80" w:type="dxa"/>
              <w:start w:w="120" w:type="dxa"/>
              <w:bottom w:w="80" w:type="dxa"/>
              <w:end w:w="120" w:type="dxa"/>
            </w:tcMar>
          </w:tcPr>
          <w:p>
            <w:pPr>
              <w:spacing w:before="0" w:after="20" w:line="252" w:lineRule="auto"/>
              <w:jc w:val="left"/>
            </w:pPr>
            <w:r>
              <w:rPr>
                <w:color w:val="1D2733"/>
                <w:sz w:val="17"/>
              </w:rPr>
              <w:t>Environment-based configuration, database migrations, storage adapters, documented APIs, automated tests, backup and rollback from day one.</w:t>
            </w:r>
          </w:p>
        </w:tc>
        <w:tc>
          <w:tcPr>
            <w:tcW w:type="dxa" w:w="3210"/>
            <w:vAlign w:val="center"/>
            <w:tcMar>
              <w:top w:w="80" w:type="dxa"/>
              <w:start w:w="120" w:type="dxa"/>
              <w:bottom w:w="80" w:type="dxa"/>
              <w:end w:w="120" w:type="dxa"/>
            </w:tcMar>
          </w:tcPr>
          <w:p>
            <w:pPr>
              <w:spacing w:before="0" w:after="20" w:line="252" w:lineRule="auto"/>
              <w:jc w:val="left"/>
            </w:pPr>
            <w:r>
              <w:rPr>
                <w:color w:val="1D2733"/>
                <w:sz w:val="17"/>
              </w:rPr>
              <w:t>Migration from shared hosting without rebuilding products.</w:t>
            </w:r>
          </w:p>
        </w:tc>
      </w:tr>
      <w:tr>
        <w:trPr>
          <w:cantSplit/>
        </w:trPr>
        <w:tc>
          <w:tcPr>
            <w:tcW w:type="dxa" w:w="1800"/>
            <w:vAlign w:val="center"/>
            <w:shd w:fill="FAFBFC"/>
            <w:tcMar>
              <w:top w:w="80" w:type="dxa"/>
              <w:start w:w="120" w:type="dxa"/>
              <w:bottom w:w="80" w:type="dxa"/>
              <w:end w:w="120" w:type="dxa"/>
            </w:tcMar>
          </w:tcPr>
          <w:p>
            <w:pPr>
              <w:spacing w:before="0" w:after="20" w:line="252" w:lineRule="auto"/>
              <w:jc w:val="left"/>
            </w:pPr>
            <w:r>
              <w:rPr>
                <w:color w:val="1D2733"/>
                <w:sz w:val="17"/>
              </w:rPr>
              <w:t>Evidence-gated growth</w:t>
            </w:r>
          </w:p>
        </w:tc>
        <w:tc>
          <w:tcPr>
            <w:tcW w:type="dxa" w:w="4350"/>
            <w:vAlign w:val="center"/>
            <w:shd w:fill="FAFBFC"/>
            <w:tcMar>
              <w:top w:w="80" w:type="dxa"/>
              <w:start w:w="120" w:type="dxa"/>
              <w:bottom w:w="80" w:type="dxa"/>
              <w:end w:w="120" w:type="dxa"/>
            </w:tcMar>
          </w:tcPr>
          <w:p>
            <w:pPr>
              <w:spacing w:before="0" w:after="20" w:line="252" w:lineRule="auto"/>
              <w:jc w:val="left"/>
            </w:pPr>
            <w:r>
              <w:rPr>
                <w:color w:val="1D2733"/>
                <w:sz w:val="17"/>
              </w:rPr>
              <w:t>Invest further only after value, trust, readiness, unit economics and capacity evidence.</w:t>
            </w:r>
          </w:p>
        </w:tc>
        <w:tc>
          <w:tcPr>
            <w:tcW w:type="dxa" w:w="3210"/>
            <w:vAlign w:val="center"/>
            <w:shd w:fill="FAFBFC"/>
            <w:tcMar>
              <w:top w:w="80" w:type="dxa"/>
              <w:start w:w="120" w:type="dxa"/>
              <w:bottom w:w="80" w:type="dxa"/>
              <w:end w:w="120" w:type="dxa"/>
            </w:tcMar>
          </w:tcPr>
          <w:p>
            <w:pPr>
              <w:spacing w:before="0" w:after="20" w:line="252" w:lineRule="auto"/>
              <w:jc w:val="left"/>
            </w:pPr>
            <w:r>
              <w:rPr>
                <w:color w:val="1D2733"/>
                <w:sz w:val="17"/>
              </w:rPr>
              <w:t>Capital discipline and lower execution risk.</w:t>
            </w:r>
          </w:p>
        </w:tc>
      </w:tr>
    </w:tbl>
    <w:p>
      <w:pPr>
        <w:pStyle w:val="Heading2"/>
      </w:pPr>
      <w:r>
        <w:t>First 90-day mandate</w:t>
      </w:r>
    </w:p>
    <w:p>
      <w:pPr>
        <w:pStyle w:val="ListNumber"/>
        <w:keepLines/>
        <w:numPr>
          <w:ilvl w:val="0"/>
          <w:numId w:val="11"/>
        </w:numPr>
      </w:pPr>
      <w:r>
        <w:rPr>
          <w:b/>
        </w:rPr>
        <w:t xml:space="preserve">Govern: </w:t>
      </w:r>
      <w:r>
        <w:t>Appoint accountable executive, product, security, privacy, finance and service owners; approve the decision and risk registers.</w:t>
      </w:r>
    </w:p>
    <w:p>
      <w:pPr>
        <w:pStyle w:val="ListNumber"/>
        <w:keepLines/>
        <w:numPr>
          <w:ilvl w:val="0"/>
          <w:numId w:val="11"/>
        </w:numPr>
      </w:pPr>
      <w:r>
        <w:rPr>
          <w:b/>
        </w:rPr>
        <w:t xml:space="preserve">Verify: </w:t>
      </w:r>
      <w:r>
        <w:t>Reconcile CAC records, shareholding, registered office, tax status, trademarks, domain control, Academy registration and existing contracts.</w:t>
      </w:r>
    </w:p>
    <w:p>
      <w:pPr>
        <w:pStyle w:val="ListNumber"/>
        <w:keepLines/>
        <w:numPr>
          <w:ilvl w:val="0"/>
          <w:numId w:val="11"/>
        </w:numPr>
      </w:pPr>
      <w:r>
        <w:rPr>
          <w:b/>
        </w:rPr>
        <w:t xml:space="preserve">Control the portfolio: </w:t>
      </w:r>
      <w:r>
        <w:t>Inventory every active website, repository, product, client deployment, vendor, dataset, credential, licence and commitment; pause unapproved new builds.</w:t>
      </w:r>
    </w:p>
    <w:p>
      <w:pPr>
        <w:pStyle w:val="ListNumber"/>
        <w:keepLines/>
        <w:numPr>
          <w:ilvl w:val="0"/>
          <w:numId w:val="11"/>
        </w:numPr>
      </w:pPr>
      <w:r>
        <w:rPr>
          <w:b/>
        </w:rPr>
        <w:t xml:space="preserve">Launch the digital front doors: </w:t>
      </w:r>
      <w:r>
        <w:t>Establish the three-domain information architecture, common design system, consent controls, analytics and central content workflow.</w:t>
      </w:r>
    </w:p>
    <w:p>
      <w:pPr>
        <w:pStyle w:val="ListNumber"/>
        <w:keepLines/>
        <w:numPr>
          <w:ilvl w:val="0"/>
          <w:numId w:val="11"/>
        </w:numPr>
      </w:pPr>
      <w:r>
        <w:rPr>
          <w:b/>
        </w:rPr>
        <w:t xml:space="preserve">Establish engineering: </w:t>
      </w:r>
      <w:r>
        <w:t>Create version-controlled repositories, development/staging/production separation, security scanning, test gates, release records and restore-tested backups.</w:t>
      </w:r>
    </w:p>
    <w:p>
      <w:pPr>
        <w:pStyle w:val="ListNumber"/>
        <w:keepLines/>
        <w:numPr>
          <w:ilvl w:val="0"/>
          <w:numId w:val="11"/>
        </w:numPr>
      </w:pPr>
      <w:r>
        <w:rPr>
          <w:b/>
        </w:rPr>
        <w:t xml:space="preserve">Prototype RME and Rihuum OS: </w:t>
      </w:r>
      <w:r>
        <w:t>Deliver the RME identity, organisation/tenant, role, policy, audit and support foundation; validate it through one end-to-end Rihuum OS client workflow before broad module expansion.</w:t>
      </w:r>
    </w:p>
    <w:p>
      <w:pPr>
        <w:pStyle w:val="ListNumber"/>
        <w:keepLines/>
        <w:numPr>
          <w:ilvl w:val="0"/>
          <w:numId w:val="11"/>
        </w:numPr>
      </w:pPr>
      <w:r>
        <w:rPr>
          <w:b/>
        </w:rPr>
        <w:t xml:space="preserve">Commercialise one narrow offer: </w:t>
      </w:r>
      <w:r>
        <w:t>Select an ideal customer segment, run a paid pilot, measure time-to-value, support effort, gross margin and adoption.</w:t>
      </w:r>
    </w:p>
    <w:p>
      <w:pPr>
        <w:pStyle w:val="Heading2"/>
      </w:pPr>
      <w:r>
        <w:t>Definition of success</w:t>
      </w:r>
    </w:p>
    <w:p>
      <w:pPr>
        <w:pStyle w:val="ListBullet"/>
        <w:keepLines/>
      </w:pPr>
      <w:r>
        <w:t>Clients can understand what Rihuum does, obtain a proposal, onboard securely, receive support and expand their relationship through one coherent experience.</w:t>
      </w:r>
    </w:p>
    <w:p>
      <w:pPr>
        <w:pStyle w:val="ListBullet"/>
        <w:keepLines/>
      </w:pPr>
      <w:r>
        <w:t>Every production system has a named owner, repository, deployment record, data classification, security baseline, monitoring, backup, restoration test and lifecycle status.</w:t>
      </w:r>
    </w:p>
    <w:p>
      <w:pPr>
        <w:pStyle w:val="ListBullet"/>
        <w:keepLines/>
      </w:pPr>
      <w:r>
        <w:t>RME provides common enterprise capabilities once; Rihuum OS and every authorised product reuse them through governed contracts rather than rebuilding isolated foundations.</w:t>
      </w:r>
    </w:p>
    <w:p>
      <w:pPr>
        <w:pStyle w:val="ListBullet"/>
        <w:keepLines/>
      </w:pPr>
      <w:r>
        <w:t>AI systems have authorised purposes, approved data, least-privilege tools, human approval for material actions, evaluation evidence and complete audit trails.</w:t>
      </w:r>
    </w:p>
    <w:p>
      <w:pPr>
        <w:pStyle w:val="ListBullet"/>
        <w:keepLines/>
      </w:pPr>
      <w:r>
        <w:t>Revenue increasingly combines recurring subscriptions, licences and managed services with implementation, training, hardware and advisory income.</w:t>
      </w:r>
    </w:p>
    <w:p>
      <w:pPr>
        <w:pStyle w:val="ListBullet"/>
        <w:keepLines/>
      </w:pPr>
      <w:r>
        <w:t>Growth decisions are made from reconciled operational and financial data rather than activity alone.</w:t>
      </w:r>
    </w:p>
    <w:p>
      <w:bookmarkStart w:id="2" w:name="sec02"/>
      <w:pPr>
        <w:pStyle w:val="Heading1"/>
        <w:keepNext/>
        <w:pageBreakBefore/>
      </w:pPr>
      <w:r>
        <w:t>SECTION 02 | Company Overview</w:t>
      </w:r>
      <w:bookmarkEnd w:id="2"/>
    </w:p>
    <w:p>
      <w:pPr>
        <w:pStyle w:val="LeadCallout"/>
        <w:shd w:fill="F4F6F9"/>
        <w:pBdr>
          <w:left w:val="single" w:sz="18" w:space="8" w:color="C99A2E"/>
        </w:pBdr>
      </w:pPr>
      <w:r>
        <w:rPr>
          <w:b/>
          <w:color w:val="102A43"/>
        </w:rPr>
        <w:t xml:space="preserve">Positioning: </w:t>
      </w:r>
      <w:r>
        <w:t>Rihuum Intercontinental Limited is a diversified, technology-first enterprise that designs, commercialises, deploys and operates secure digital products and technology-enabled services across industries.</w:t>
      </w:r>
    </w:p>
    <w:p>
      <w:pPr>
        <w:pStyle w:val="Caption"/>
      </w:pPr>
      <w:r>
        <w:t>Table 5. Corporate profile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200"/>
        <w:gridCol w:w="7160"/>
      </w:tblGrid>
      <w:tr>
        <w:trPr>
          <w:tblHeader w:val="true"/>
          <w:cantSplit/>
        </w:trPr>
        <w:tc>
          <w:tcPr>
            <w:tcW w:type="dxa" w:w="2200"/>
            <w:vAlign w:val="center"/>
            <w:shd w:fill="F2F4F7"/>
            <w:tcMar>
              <w:top w:w="80" w:type="dxa"/>
              <w:start w:w="120" w:type="dxa"/>
              <w:bottom w:w="80" w:type="dxa"/>
              <w:end w:w="120" w:type="dxa"/>
            </w:tcMar>
          </w:tcPr>
          <w:p>
            <w:pPr>
              <w:spacing w:before="0" w:after="0"/>
              <w:jc w:val="center"/>
            </w:pPr>
            <w:r>
              <w:rPr>
                <w:b/>
                <w:color w:val="102A43"/>
                <w:sz w:val="18"/>
              </w:rPr>
              <w:t>Item</w:t>
            </w:r>
          </w:p>
        </w:tc>
        <w:tc>
          <w:tcPr>
            <w:tcW w:type="dxa" w:w="7160"/>
            <w:vAlign w:val="center"/>
            <w:shd w:fill="F2F4F7"/>
            <w:tcMar>
              <w:top w:w="80" w:type="dxa"/>
              <w:start w:w="120" w:type="dxa"/>
              <w:bottom w:w="80" w:type="dxa"/>
              <w:end w:w="120" w:type="dxa"/>
            </w:tcMar>
          </w:tcPr>
          <w:p>
            <w:pPr>
              <w:spacing w:before="0" w:after="0"/>
              <w:jc w:val="left"/>
            </w:pPr>
            <w:r>
              <w:rPr>
                <w:b/>
                <w:color w:val="102A43"/>
                <w:sz w:val="18"/>
              </w:rPr>
              <w:t>Current foundation</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Legal name</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Rihuum Intercontinental Limited</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CAC number</w:t>
            </w:r>
          </w:p>
        </w:tc>
        <w:tc>
          <w:tcPr>
            <w:tcW w:type="dxa" w:w="7160"/>
            <w:vAlign w:val="center"/>
            <w:shd w:fill="FAFBFC"/>
            <w:tcMar>
              <w:top w:w="80" w:type="dxa"/>
              <w:start w:w="120" w:type="dxa"/>
              <w:bottom w:w="80" w:type="dxa"/>
              <w:end w:w="120" w:type="dxa"/>
            </w:tcMar>
          </w:tcPr>
          <w:p>
            <w:pPr>
              <w:spacing w:before="0" w:after="20" w:line="252" w:lineRule="auto"/>
              <w:jc w:val="center"/>
            </w:pPr>
            <w:r>
              <w:rPr>
                <w:color w:val="1D2733"/>
                <w:sz w:val="17"/>
              </w:rPr>
              <w:t>RC 1476119</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Incorporation</w:t>
            </w:r>
          </w:p>
        </w:tc>
        <w:tc>
          <w:tcPr>
            <w:tcW w:type="dxa" w:w="7160"/>
            <w:vAlign w:val="center"/>
            <w:tcMar>
              <w:top w:w="80" w:type="dxa"/>
              <w:start w:w="120" w:type="dxa"/>
              <w:bottom w:w="80" w:type="dxa"/>
              <w:end w:w="120" w:type="dxa"/>
            </w:tcMar>
          </w:tcPr>
          <w:p>
            <w:pPr>
              <w:spacing w:before="0" w:after="20" w:line="252" w:lineRule="auto"/>
              <w:jc w:val="center"/>
            </w:pPr>
            <w:r>
              <w:rPr>
                <w:color w:val="1D2733"/>
                <w:sz w:val="17"/>
              </w:rPr>
              <w:t>6 March 2018</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Primary markets</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Nigeria first; phased West African, African and selected international expansion</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Corporate domains</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rihuum.com, rihuum.tech and rihuum.net</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Training academy</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Rihuum Technology and Digital Hub - CAC-registered; separate registration number pending verified insertion</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Strategic identity</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Technology and digital transformation; software and AI; cybersecurity and infrastructure; skills; smart systems; research and commercialisation</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Shared enterprise core</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Rihuum Master Enterprises (RME) - multi-tenant enterprise core and product control plane</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Flagship product family</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Rihuum OS - unified enterprise and industry operating experience powered by RME</w:t>
            </w:r>
          </w:p>
        </w:tc>
      </w:tr>
    </w:tbl>
    <w:p>
      <w:pPr>
        <w:pStyle w:val="Heading2"/>
      </w:pPr>
      <w:r>
        <w:t>Business thesis</w:t>
      </w:r>
    </w:p>
    <w:p>
      <w:r>
        <w:t>Rihuum will create value in three connected ways. First, it will build repeatable digital products that can be licensed or subscribed to. Second, it will implement, integrate and manage those products for clients. Third, it will develop the skills, research and partner ecosystem required to sustain delivery. Hospitality, smart security, telematics, networking and training remain important businesses, but they should be digitally enabled through the same commercial, data and service platform.</w:t>
      </w:r>
    </w:p>
    <w:p>
      <w:pPr>
        <w:pStyle w:val="Heading2"/>
      </w:pPr>
      <w:r>
        <w:t>Priority customer groups</w:t>
      </w:r>
    </w:p>
    <w:p>
      <w:pPr>
        <w:pStyle w:val="Caption"/>
      </w:pPr>
      <w:r>
        <w:t>Table 6. Customer groups and initial value propositions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100"/>
        <w:gridCol w:w="3900"/>
        <w:gridCol w:w="3360"/>
      </w:tblGrid>
      <w:tr>
        <w:trPr>
          <w:tblHeader w:val="true"/>
          <w:cantSplit/>
        </w:trPr>
        <w:tc>
          <w:tcPr>
            <w:tcW w:type="dxa" w:w="2100"/>
            <w:vAlign w:val="center"/>
            <w:shd w:fill="F2F4F7"/>
            <w:tcMar>
              <w:top w:w="80" w:type="dxa"/>
              <w:start w:w="120" w:type="dxa"/>
              <w:bottom w:w="80" w:type="dxa"/>
              <w:end w:w="120" w:type="dxa"/>
            </w:tcMar>
          </w:tcPr>
          <w:p>
            <w:pPr>
              <w:spacing w:before="0" w:after="0"/>
              <w:jc w:val="center"/>
            </w:pPr>
            <w:r>
              <w:rPr>
                <w:b/>
                <w:color w:val="102A43"/>
                <w:sz w:val="17"/>
              </w:rPr>
              <w:t>Customer group</w:t>
            </w:r>
          </w:p>
        </w:tc>
        <w:tc>
          <w:tcPr>
            <w:tcW w:type="dxa" w:w="3900"/>
            <w:vAlign w:val="center"/>
            <w:shd w:fill="F2F4F7"/>
            <w:tcMar>
              <w:top w:w="80" w:type="dxa"/>
              <w:start w:w="120" w:type="dxa"/>
              <w:bottom w:w="80" w:type="dxa"/>
              <w:end w:w="120" w:type="dxa"/>
            </w:tcMar>
          </w:tcPr>
          <w:p>
            <w:pPr>
              <w:spacing w:before="0" w:after="0"/>
              <w:jc w:val="left"/>
            </w:pPr>
            <w:r>
              <w:rPr>
                <w:b/>
                <w:color w:val="102A43"/>
                <w:sz w:val="17"/>
              </w:rPr>
              <w:t>High-value problems</w:t>
            </w:r>
          </w:p>
        </w:tc>
        <w:tc>
          <w:tcPr>
            <w:tcW w:type="dxa" w:w="3360"/>
            <w:vAlign w:val="center"/>
            <w:shd w:fill="F2F4F7"/>
            <w:tcMar>
              <w:top w:w="80" w:type="dxa"/>
              <w:start w:w="120" w:type="dxa"/>
              <w:bottom w:w="80" w:type="dxa"/>
              <w:end w:w="120" w:type="dxa"/>
            </w:tcMar>
          </w:tcPr>
          <w:p>
            <w:pPr>
              <w:spacing w:before="0" w:after="0"/>
              <w:jc w:val="left"/>
            </w:pPr>
            <w:r>
              <w:rPr>
                <w:b/>
                <w:color w:val="102A43"/>
                <w:sz w:val="17"/>
              </w:rPr>
              <w:t>Rihuum entry offer</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SMEs and growth companies</w:t>
            </w:r>
          </w:p>
        </w:tc>
        <w:tc>
          <w:tcPr>
            <w:tcW w:type="dxa" w:w="3900"/>
            <w:vAlign w:val="center"/>
            <w:tcMar>
              <w:top w:w="80" w:type="dxa"/>
              <w:start w:w="120" w:type="dxa"/>
              <w:bottom w:w="80" w:type="dxa"/>
              <w:end w:w="120" w:type="dxa"/>
            </w:tcMar>
          </w:tcPr>
          <w:p>
            <w:pPr>
              <w:spacing w:before="0" w:after="20" w:line="252" w:lineRule="auto"/>
              <w:jc w:val="left"/>
            </w:pPr>
            <w:r>
              <w:rPr>
                <w:color w:val="1D2733"/>
                <w:sz w:val="16"/>
              </w:rPr>
              <w:t>Fragmented operations, weak records, inconsistent customer service and limited automation</w:t>
            </w:r>
          </w:p>
        </w:tc>
        <w:tc>
          <w:tcPr>
            <w:tcW w:type="dxa" w:w="3360"/>
            <w:vAlign w:val="center"/>
            <w:tcMar>
              <w:top w:w="80" w:type="dxa"/>
              <w:start w:w="120" w:type="dxa"/>
              <w:bottom w:w="80" w:type="dxa"/>
              <w:end w:w="120" w:type="dxa"/>
            </w:tcMar>
          </w:tcPr>
          <w:p>
            <w:pPr>
              <w:spacing w:before="0" w:after="20" w:line="252" w:lineRule="auto"/>
              <w:jc w:val="left"/>
            </w:pPr>
            <w:r>
              <w:rPr>
                <w:color w:val="1D2733"/>
                <w:sz w:val="16"/>
              </w:rPr>
              <w:t>Rihuum OS starter modules, managed website, CRM, billing and digital-skills support</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Enterprises</w:t>
            </w:r>
          </w:p>
        </w:tc>
        <w:tc>
          <w:tcPr>
            <w:tcW w:type="dxa" w:w="3900"/>
            <w:vAlign w:val="center"/>
            <w:shd w:fill="FAFBFC"/>
            <w:tcMar>
              <w:top w:w="80" w:type="dxa"/>
              <w:start w:w="120" w:type="dxa"/>
              <w:bottom w:w="80" w:type="dxa"/>
              <w:end w:w="120" w:type="dxa"/>
            </w:tcMar>
          </w:tcPr>
          <w:p>
            <w:pPr>
              <w:spacing w:before="0" w:after="20" w:line="252" w:lineRule="auto"/>
              <w:jc w:val="left"/>
            </w:pPr>
            <w:r>
              <w:rPr>
                <w:color w:val="1D2733"/>
                <w:sz w:val="16"/>
              </w:rPr>
              <w:t>Integration, security, data governance, service reliability and workforce capability</w:t>
            </w:r>
          </w:p>
        </w:tc>
        <w:tc>
          <w:tcPr>
            <w:tcW w:type="dxa" w:w="3360"/>
            <w:vAlign w:val="center"/>
            <w:shd w:fill="FAFBFC"/>
            <w:tcMar>
              <w:top w:w="80" w:type="dxa"/>
              <w:start w:w="120" w:type="dxa"/>
              <w:bottom w:w="80" w:type="dxa"/>
              <w:end w:w="120" w:type="dxa"/>
            </w:tcMar>
          </w:tcPr>
          <w:p>
            <w:pPr>
              <w:spacing w:before="0" w:after="20" w:line="252" w:lineRule="auto"/>
              <w:jc w:val="left"/>
            </w:pPr>
            <w:r>
              <w:rPr>
                <w:color w:val="1D2733"/>
                <w:sz w:val="16"/>
              </w:rPr>
              <w:t>Enterprise deployment, integrations, cybersecurity, analytics and managed services</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Government and public institutions</w:t>
            </w:r>
          </w:p>
        </w:tc>
        <w:tc>
          <w:tcPr>
            <w:tcW w:type="dxa" w:w="3900"/>
            <w:vAlign w:val="center"/>
            <w:tcMar>
              <w:top w:w="80" w:type="dxa"/>
              <w:start w:w="120" w:type="dxa"/>
              <w:bottom w:w="80" w:type="dxa"/>
              <w:end w:w="120" w:type="dxa"/>
            </w:tcMar>
          </w:tcPr>
          <w:p>
            <w:pPr>
              <w:spacing w:before="0" w:after="20" w:line="252" w:lineRule="auto"/>
              <w:jc w:val="left"/>
            </w:pPr>
            <w:r>
              <w:rPr>
                <w:color w:val="1D2733"/>
                <w:sz w:val="16"/>
              </w:rPr>
              <w:t>Citizen/service workflows, accountability, data protection, skills and infrastructure</w:t>
            </w:r>
          </w:p>
        </w:tc>
        <w:tc>
          <w:tcPr>
            <w:tcW w:type="dxa" w:w="3360"/>
            <w:vAlign w:val="center"/>
            <w:tcMar>
              <w:top w:w="80" w:type="dxa"/>
              <w:start w:w="120" w:type="dxa"/>
              <w:bottom w:w="80" w:type="dxa"/>
              <w:end w:w="120" w:type="dxa"/>
            </w:tcMar>
          </w:tcPr>
          <w:p>
            <w:pPr>
              <w:spacing w:before="0" w:after="20" w:line="252" w:lineRule="auto"/>
              <w:jc w:val="left"/>
            </w:pPr>
            <w:r>
              <w:rPr>
                <w:color w:val="1D2733"/>
                <w:sz w:val="16"/>
              </w:rPr>
              <w:t>Discovery and pilot programmes with procurement, hosting and data-sovereignty controls</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Education and workforce programmes</w:t>
            </w:r>
          </w:p>
        </w:tc>
        <w:tc>
          <w:tcPr>
            <w:tcW w:type="dxa" w:w="3900"/>
            <w:vAlign w:val="center"/>
            <w:shd w:fill="FAFBFC"/>
            <w:tcMar>
              <w:top w:w="80" w:type="dxa"/>
              <w:start w:w="120" w:type="dxa"/>
              <w:bottom w:w="80" w:type="dxa"/>
              <w:end w:w="120" w:type="dxa"/>
            </w:tcMar>
          </w:tcPr>
          <w:p>
            <w:pPr>
              <w:spacing w:before="0" w:after="20" w:line="252" w:lineRule="auto"/>
              <w:jc w:val="left"/>
            </w:pPr>
            <w:r>
              <w:rPr>
                <w:color w:val="1D2733"/>
                <w:sz w:val="16"/>
              </w:rPr>
              <w:t>Market-relevant skills, delivery platforms and measurable outcomes</w:t>
            </w:r>
          </w:p>
        </w:tc>
        <w:tc>
          <w:tcPr>
            <w:tcW w:type="dxa" w:w="3360"/>
            <w:vAlign w:val="center"/>
            <w:shd w:fill="FAFBFC"/>
            <w:tcMar>
              <w:top w:w="80" w:type="dxa"/>
              <w:start w:w="120" w:type="dxa"/>
              <w:bottom w:w="80" w:type="dxa"/>
              <w:end w:w="120" w:type="dxa"/>
            </w:tcMar>
          </w:tcPr>
          <w:p>
            <w:pPr>
              <w:spacing w:before="0" w:after="20" w:line="252" w:lineRule="auto"/>
              <w:jc w:val="left"/>
            </w:pPr>
            <w:r>
              <w:rPr>
                <w:color w:val="1D2733"/>
                <w:sz w:val="16"/>
              </w:rPr>
              <w:t>Academy programmes, LMS, labs, assessments and employer partnerships</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Hospitality and property operators</w:t>
            </w:r>
          </w:p>
        </w:tc>
        <w:tc>
          <w:tcPr>
            <w:tcW w:type="dxa" w:w="3900"/>
            <w:vAlign w:val="center"/>
            <w:tcMar>
              <w:top w:w="80" w:type="dxa"/>
              <w:start w:w="120" w:type="dxa"/>
              <w:bottom w:w="80" w:type="dxa"/>
              <w:end w:w="120" w:type="dxa"/>
            </w:tcMar>
          </w:tcPr>
          <w:p>
            <w:pPr>
              <w:spacing w:before="0" w:after="20" w:line="252" w:lineRule="auto"/>
              <w:jc w:val="left"/>
            </w:pPr>
            <w:r>
              <w:rPr>
                <w:color w:val="1D2733"/>
                <w:sz w:val="16"/>
              </w:rPr>
              <w:t>Guest experience, bookings, operations, security and asset visibility</w:t>
            </w:r>
          </w:p>
        </w:tc>
        <w:tc>
          <w:tcPr>
            <w:tcW w:type="dxa" w:w="3360"/>
            <w:vAlign w:val="center"/>
            <w:tcMar>
              <w:top w:w="80" w:type="dxa"/>
              <w:start w:w="120" w:type="dxa"/>
              <w:bottom w:w="80" w:type="dxa"/>
              <w:end w:w="120" w:type="dxa"/>
            </w:tcMar>
          </w:tcPr>
          <w:p>
            <w:pPr>
              <w:spacing w:before="0" w:after="20" w:line="252" w:lineRule="auto"/>
              <w:jc w:val="left"/>
            </w:pPr>
            <w:r>
              <w:rPr>
                <w:color w:val="1D2733"/>
                <w:sz w:val="16"/>
              </w:rPr>
              <w:t>Hospitality modules, smart access, CCTV, networks, events and service automation</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Logistics, mobility and field operations</w:t>
            </w:r>
          </w:p>
        </w:tc>
        <w:tc>
          <w:tcPr>
            <w:tcW w:type="dxa" w:w="3900"/>
            <w:vAlign w:val="center"/>
            <w:shd w:fill="FAFBFC"/>
            <w:tcMar>
              <w:top w:w="80" w:type="dxa"/>
              <w:start w:w="120" w:type="dxa"/>
              <w:bottom w:w="80" w:type="dxa"/>
              <w:end w:w="120" w:type="dxa"/>
            </w:tcMar>
          </w:tcPr>
          <w:p>
            <w:pPr>
              <w:spacing w:before="0" w:after="20" w:line="252" w:lineRule="auto"/>
              <w:jc w:val="left"/>
            </w:pPr>
            <w:r>
              <w:rPr>
                <w:color w:val="1D2733"/>
                <w:sz w:val="16"/>
              </w:rPr>
              <w:t>Fleet visibility, safety, routing, maintenance and proof of service</w:t>
            </w:r>
          </w:p>
        </w:tc>
        <w:tc>
          <w:tcPr>
            <w:tcW w:type="dxa" w:w="3360"/>
            <w:vAlign w:val="center"/>
            <w:shd w:fill="FAFBFC"/>
            <w:tcMar>
              <w:top w:w="80" w:type="dxa"/>
              <w:start w:w="120" w:type="dxa"/>
              <w:bottom w:w="80" w:type="dxa"/>
              <w:end w:w="120" w:type="dxa"/>
            </w:tcMar>
          </w:tcPr>
          <w:p>
            <w:pPr>
              <w:spacing w:before="0" w:after="20" w:line="252" w:lineRule="auto"/>
              <w:jc w:val="left"/>
            </w:pPr>
            <w:r>
              <w:rPr>
                <w:color w:val="1D2733"/>
                <w:sz w:val="16"/>
              </w:rPr>
              <w:t>Telematics, IoT integration, dashboards and operational workflows</w:t>
            </w:r>
          </w:p>
        </w:tc>
      </w:tr>
    </w:tbl>
    <w:p>
      <w:pPr>
        <w:pStyle w:val="Heading2"/>
      </w:pPr>
      <w:r>
        <w:t>Operating boundaries</w:t>
      </w:r>
    </w:p>
    <w:p>
      <w:pPr>
        <w:pStyle w:val="ListBullet"/>
        <w:keepLines/>
      </w:pPr>
      <w:r>
        <w:rPr>
          <w:b/>
        </w:rPr>
        <w:t xml:space="preserve">Build: </w:t>
      </w:r>
      <w:r>
        <w:t>where Rihuum owns differentiated workflows, reusable intellectual property or strategic data capability.</w:t>
      </w:r>
    </w:p>
    <w:p>
      <w:pPr>
        <w:pStyle w:val="ListBullet"/>
        <w:keepLines/>
      </w:pPr>
      <w:r>
        <w:rPr>
          <w:b/>
        </w:rPr>
        <w:t xml:space="preserve">Buy: </w:t>
      </w:r>
      <w:r>
        <w:t>for commodity functions such as email delivery, payment processing, payroll, commodity monitoring or conferencing when an accountable vendor is more efficient.</w:t>
      </w:r>
    </w:p>
    <w:p>
      <w:pPr>
        <w:pStyle w:val="ListBullet"/>
        <w:keepLines/>
      </w:pPr>
      <w:r>
        <w:rPr>
          <w:b/>
        </w:rPr>
        <w:t xml:space="preserve">Partner: </w:t>
      </w:r>
      <w:r>
        <w:t>where licences, market access, specialist expertise, hardware warranties or regulated capability are required.</w:t>
      </w:r>
    </w:p>
    <w:p>
      <w:pPr>
        <w:pStyle w:val="ListBullet"/>
        <w:keepLines/>
      </w:pPr>
      <w:r>
        <w:rPr>
          <w:b/>
        </w:rPr>
        <w:t xml:space="preserve">Integrate: </w:t>
      </w:r>
      <w:r>
        <w:t>through documented contracts so a vendor or hosting change does not force a product rewrite.</w:t>
      </w:r>
    </w:p>
    <w:p>
      <w:pPr>
        <w:pStyle w:val="ListBullet"/>
        <w:keepLines/>
      </w:pPr>
      <w:r>
        <w:rPr>
          <w:b/>
        </w:rPr>
        <w:t xml:space="preserve">Decline: </w:t>
      </w:r>
      <w:r>
        <w:t>work that cannot meet minimum margin, security, legal, support, ethical or strategic-fit requirements.</w:t>
      </w:r>
    </w:p>
    <w:p>
      <w:bookmarkStart w:id="3" w:name="sec03"/>
      <w:pPr>
        <w:pStyle w:val="Heading1"/>
        <w:keepNext/>
        <w:pageBreakBefore/>
      </w:pPr>
      <w:r>
        <w:t>SECTION 03 | Vision, Mission, Values, and Strategic Objectives</w:t>
      </w:r>
      <w:bookmarkEnd w:id="3"/>
    </w:p>
    <w:p>
      <w:pPr>
        <w:pStyle w:val="Heading2"/>
      </w:pPr>
      <w:r>
        <w:t>Vision</w:t>
      </w:r>
    </w:p>
    <w:p>
      <w:pPr>
        <w:pStyle w:val="LeadCallout"/>
        <w:shd w:fill="F4F6F9"/>
        <w:pBdr>
          <w:left w:val="single" w:sz="18" w:space="8" w:color="C99A2E"/>
        </w:pBdr>
      </w:pPr>
      <w:r>
        <w:rPr>
          <w:b/>
          <w:color w:val="102A43"/>
        </w:rPr>
        <w:t xml:space="preserve">Vision: </w:t>
      </w:r>
      <w:r>
        <w:t>To become one of Africa's most respected technology companies, recognised for secure, intelligent, scalable and commercially successful products and solutions that solve real business and societal problems.</w:t>
      </w:r>
    </w:p>
    <w:p>
      <w:pPr>
        <w:pStyle w:val="Heading2"/>
      </w:pPr>
      <w:r>
        <w:t>Mission</w:t>
      </w:r>
    </w:p>
    <w:p>
      <w:pPr>
        <w:pStyle w:val="LeadCallout"/>
        <w:shd w:fill="F7F0DC"/>
        <w:pBdr>
          <w:left w:val="single" w:sz="18" w:space="8" w:color="C99A2E"/>
        </w:pBdr>
      </w:pPr>
      <w:r>
        <w:rPr>
          <w:b/>
          <w:color w:val="102A43"/>
        </w:rPr>
        <w:t xml:space="preserve">Mission: </w:t>
      </w:r>
      <w:r>
        <w:t>To combine software engineering, responsible AI, digital skills, data, cybersecurity, infrastructure and industry knowledge to bridge gaps, improve organisations, create opportunities and deliver measurable, sustainable value.</w:t>
      </w:r>
    </w:p>
    <w:p>
      <w:pPr>
        <w:pStyle w:val="Heading2"/>
      </w:pPr>
      <w:r>
        <w:t>Core values</w:t>
      </w:r>
    </w:p>
    <w:p>
      <w:pPr>
        <w:pStyle w:val="Caption"/>
      </w:pPr>
      <w:r>
        <w:t>Table 7. Values translated into observable behaviour</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900"/>
        <w:gridCol w:w="7460"/>
      </w:tblGrid>
      <w:tr>
        <w:trPr>
          <w:tblHeader w:val="true"/>
          <w:cantSplit/>
        </w:trPr>
        <w:tc>
          <w:tcPr>
            <w:tcW w:type="dxa" w:w="1900"/>
            <w:vAlign w:val="center"/>
            <w:shd w:fill="F2F4F7"/>
            <w:tcMar>
              <w:top w:w="80" w:type="dxa"/>
              <w:start w:w="120" w:type="dxa"/>
              <w:bottom w:w="80" w:type="dxa"/>
              <w:end w:w="120" w:type="dxa"/>
            </w:tcMar>
          </w:tcPr>
          <w:p>
            <w:pPr>
              <w:spacing w:before="0" w:after="0"/>
              <w:jc w:val="center"/>
            </w:pPr>
            <w:r>
              <w:rPr>
                <w:b/>
                <w:color w:val="102A43"/>
                <w:sz w:val="18"/>
              </w:rPr>
              <w:t>Value</w:t>
            </w:r>
          </w:p>
        </w:tc>
        <w:tc>
          <w:tcPr>
            <w:tcW w:type="dxa" w:w="7460"/>
            <w:vAlign w:val="center"/>
            <w:shd w:fill="F2F4F7"/>
            <w:tcMar>
              <w:top w:w="80" w:type="dxa"/>
              <w:start w:w="120" w:type="dxa"/>
              <w:bottom w:w="80" w:type="dxa"/>
              <w:end w:w="120" w:type="dxa"/>
            </w:tcMar>
          </w:tcPr>
          <w:p>
            <w:pPr>
              <w:spacing w:before="0" w:after="0"/>
              <w:jc w:val="left"/>
            </w:pPr>
            <w:r>
              <w:rPr>
                <w:b/>
                <w:color w:val="102A43"/>
                <w:sz w:val="18"/>
              </w:rPr>
              <w:t>Expected behaviour</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7"/>
              </w:rPr>
              <w:t>Integrity</w:t>
            </w:r>
          </w:p>
        </w:tc>
        <w:tc>
          <w:tcPr>
            <w:tcW w:type="dxa" w:w="7460"/>
            <w:vAlign w:val="center"/>
            <w:tcMar>
              <w:top w:w="80" w:type="dxa"/>
              <w:start w:w="120" w:type="dxa"/>
              <w:bottom w:w="80" w:type="dxa"/>
              <w:end w:w="120" w:type="dxa"/>
            </w:tcMar>
          </w:tcPr>
          <w:p>
            <w:pPr>
              <w:spacing w:before="0" w:after="20" w:line="252" w:lineRule="auto"/>
              <w:jc w:val="left"/>
            </w:pPr>
            <w:r>
              <w:rPr>
                <w:color w:val="1D2733"/>
                <w:sz w:val="17"/>
              </w:rPr>
              <w:t>Represent capabilities, evidence, prices, risks and delivery status truthfully; protect entrusted information.</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7"/>
              </w:rPr>
              <w:t>Customer value</w:t>
            </w:r>
          </w:p>
        </w:tc>
        <w:tc>
          <w:tcPr>
            <w:tcW w:type="dxa" w:w="7460"/>
            <w:vAlign w:val="center"/>
            <w:shd w:fill="FAFBFC"/>
            <w:tcMar>
              <w:top w:w="80" w:type="dxa"/>
              <w:start w:w="120" w:type="dxa"/>
              <w:bottom w:w="80" w:type="dxa"/>
              <w:end w:w="120" w:type="dxa"/>
            </w:tcMar>
          </w:tcPr>
          <w:p>
            <w:pPr>
              <w:spacing w:before="0" w:after="20" w:line="252" w:lineRule="auto"/>
              <w:jc w:val="left"/>
            </w:pPr>
            <w:r>
              <w:rPr>
                <w:color w:val="1D2733"/>
                <w:sz w:val="17"/>
              </w:rPr>
              <w:t>Start with a defined problem and measure adoption, outcome, satisfaction and total cost.</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7"/>
              </w:rPr>
              <w:t>Security and privacy</w:t>
            </w:r>
          </w:p>
        </w:tc>
        <w:tc>
          <w:tcPr>
            <w:tcW w:type="dxa" w:w="7460"/>
            <w:vAlign w:val="center"/>
            <w:tcMar>
              <w:top w:w="80" w:type="dxa"/>
              <w:start w:w="120" w:type="dxa"/>
              <w:bottom w:w="80" w:type="dxa"/>
              <w:end w:w="120" w:type="dxa"/>
            </w:tcMar>
          </w:tcPr>
          <w:p>
            <w:pPr>
              <w:spacing w:before="0" w:after="20" w:line="252" w:lineRule="auto"/>
              <w:jc w:val="left"/>
            </w:pPr>
            <w:r>
              <w:rPr>
                <w:color w:val="1D2733"/>
                <w:sz w:val="17"/>
              </w:rPr>
              <w:t>Design safe defaults, least privilege, data minimisation, traceability, recovery and responsible disclosure.</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7"/>
              </w:rPr>
              <w:t>Engineering excellence</w:t>
            </w:r>
          </w:p>
        </w:tc>
        <w:tc>
          <w:tcPr>
            <w:tcW w:type="dxa" w:w="7460"/>
            <w:vAlign w:val="center"/>
            <w:shd w:fill="FAFBFC"/>
            <w:tcMar>
              <w:top w:w="80" w:type="dxa"/>
              <w:start w:w="120" w:type="dxa"/>
              <w:bottom w:w="80" w:type="dxa"/>
              <w:end w:w="120" w:type="dxa"/>
            </w:tcMar>
          </w:tcPr>
          <w:p>
            <w:pPr>
              <w:spacing w:before="0" w:after="20" w:line="252" w:lineRule="auto"/>
              <w:jc w:val="left"/>
            </w:pPr>
            <w:r>
              <w:rPr>
                <w:color w:val="1D2733"/>
                <w:sz w:val="17"/>
              </w:rPr>
              <w:t>Use documented standards, reviews, tests, version control, observability and maintainable architecture.</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7"/>
              </w:rPr>
              <w:t>Responsible intelligence</w:t>
            </w:r>
          </w:p>
        </w:tc>
        <w:tc>
          <w:tcPr>
            <w:tcW w:type="dxa" w:w="7460"/>
            <w:vAlign w:val="center"/>
            <w:tcMar>
              <w:top w:w="80" w:type="dxa"/>
              <w:start w:w="120" w:type="dxa"/>
              <w:bottom w:w="80" w:type="dxa"/>
              <w:end w:w="120" w:type="dxa"/>
            </w:tcMar>
          </w:tcPr>
          <w:p>
            <w:pPr>
              <w:spacing w:before="0" w:after="20" w:line="252" w:lineRule="auto"/>
              <w:jc w:val="left"/>
            </w:pPr>
            <w:r>
              <w:rPr>
                <w:color w:val="1D2733"/>
                <w:sz w:val="17"/>
              </w:rPr>
              <w:t>Use AI when it improves an outcome; keep humans accountable for material decisions and actions.</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7"/>
              </w:rPr>
              <w:t>Learning and inclusion</w:t>
            </w:r>
          </w:p>
        </w:tc>
        <w:tc>
          <w:tcPr>
            <w:tcW w:type="dxa" w:w="7460"/>
            <w:vAlign w:val="center"/>
            <w:shd w:fill="FAFBFC"/>
            <w:tcMar>
              <w:top w:w="80" w:type="dxa"/>
              <w:start w:w="120" w:type="dxa"/>
              <w:bottom w:w="80" w:type="dxa"/>
              <w:end w:w="120" w:type="dxa"/>
            </w:tcMar>
          </w:tcPr>
          <w:p>
            <w:pPr>
              <w:spacing w:before="0" w:after="20" w:line="252" w:lineRule="auto"/>
              <w:jc w:val="left"/>
            </w:pPr>
            <w:r>
              <w:rPr>
                <w:color w:val="1D2733"/>
                <w:sz w:val="17"/>
              </w:rPr>
              <w:t>Grow local capability, make products accessible and create pathways from training to meaningful work.</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7"/>
              </w:rPr>
              <w:t>Ownership</w:t>
            </w:r>
          </w:p>
        </w:tc>
        <w:tc>
          <w:tcPr>
            <w:tcW w:type="dxa" w:w="7460"/>
            <w:vAlign w:val="center"/>
            <w:tcMar>
              <w:top w:w="80" w:type="dxa"/>
              <w:start w:w="120" w:type="dxa"/>
              <w:bottom w:w="80" w:type="dxa"/>
              <w:end w:w="120" w:type="dxa"/>
            </w:tcMar>
          </w:tcPr>
          <w:p>
            <w:pPr>
              <w:spacing w:before="0" w:after="20" w:line="252" w:lineRule="auto"/>
              <w:jc w:val="left"/>
            </w:pPr>
            <w:r>
              <w:rPr>
                <w:color w:val="1D2733"/>
                <w:sz w:val="17"/>
              </w:rPr>
              <w:t>Give every commitment an accountable owner and escalate early when evidence shows risk.</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7"/>
              </w:rPr>
              <w:t>Sustainable innovation</w:t>
            </w:r>
          </w:p>
        </w:tc>
        <w:tc>
          <w:tcPr>
            <w:tcW w:type="dxa" w:w="7460"/>
            <w:vAlign w:val="center"/>
            <w:shd w:fill="FAFBFC"/>
            <w:tcMar>
              <w:top w:w="80" w:type="dxa"/>
              <w:start w:w="120" w:type="dxa"/>
              <w:bottom w:w="80" w:type="dxa"/>
              <w:end w:w="120" w:type="dxa"/>
            </w:tcMar>
          </w:tcPr>
          <w:p>
            <w:pPr>
              <w:spacing w:before="0" w:after="20" w:line="252" w:lineRule="auto"/>
              <w:jc w:val="left"/>
            </w:pPr>
            <w:r>
              <w:rPr>
                <w:color w:val="1D2733"/>
                <w:sz w:val="17"/>
              </w:rPr>
              <w:t>Prefer durable value, reuse and lifecycle stewardship over novelty or ungoverned expansion.</w:t>
            </w:r>
          </w:p>
        </w:tc>
      </w:tr>
    </w:tbl>
    <w:p>
      <w:pPr>
        <w:pStyle w:val="Heading2"/>
      </w:pPr>
      <w:r>
        <w:t>Strategic objectives</w:t>
      </w:r>
    </w:p>
    <w:p>
      <w:pPr>
        <w:pStyle w:val="Caption"/>
      </w:pPr>
      <w:r>
        <w:t>Table 8. Strategic objectives and outcome evidence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200"/>
        <w:gridCol w:w="3550"/>
        <w:gridCol w:w="3610"/>
      </w:tblGrid>
      <w:tr>
        <w:trPr>
          <w:tblHeader w:val="true"/>
          <w:cantSplit/>
        </w:trPr>
        <w:tc>
          <w:tcPr>
            <w:tcW w:type="dxa" w:w="2200"/>
            <w:vAlign w:val="center"/>
            <w:shd w:fill="F2F4F7"/>
            <w:tcMar>
              <w:top w:w="80" w:type="dxa"/>
              <w:start w:w="120" w:type="dxa"/>
              <w:bottom w:w="80" w:type="dxa"/>
              <w:end w:w="120" w:type="dxa"/>
            </w:tcMar>
          </w:tcPr>
          <w:p>
            <w:pPr>
              <w:spacing w:before="0" w:after="0"/>
              <w:jc w:val="center"/>
            </w:pPr>
            <w:r>
              <w:rPr>
                <w:b/>
                <w:color w:val="102A43"/>
                <w:sz w:val="17"/>
              </w:rPr>
              <w:t>Objective</w:t>
            </w:r>
          </w:p>
        </w:tc>
        <w:tc>
          <w:tcPr>
            <w:tcW w:type="dxa" w:w="3550"/>
            <w:vAlign w:val="center"/>
            <w:shd w:fill="F2F4F7"/>
            <w:tcMar>
              <w:top w:w="80" w:type="dxa"/>
              <w:start w:w="120" w:type="dxa"/>
              <w:bottom w:w="80" w:type="dxa"/>
              <w:end w:w="120" w:type="dxa"/>
            </w:tcMar>
          </w:tcPr>
          <w:p>
            <w:pPr>
              <w:spacing w:before="0" w:after="0"/>
              <w:jc w:val="left"/>
            </w:pPr>
            <w:r>
              <w:rPr>
                <w:b/>
                <w:color w:val="102A43"/>
                <w:sz w:val="17"/>
              </w:rPr>
              <w:t>2026-2027 outcome</w:t>
            </w:r>
          </w:p>
        </w:tc>
        <w:tc>
          <w:tcPr>
            <w:tcW w:type="dxa" w:w="3610"/>
            <w:vAlign w:val="center"/>
            <w:shd w:fill="F2F4F7"/>
            <w:tcMar>
              <w:top w:w="80" w:type="dxa"/>
              <w:start w:w="120" w:type="dxa"/>
              <w:bottom w:w="80" w:type="dxa"/>
              <w:end w:w="120" w:type="dxa"/>
            </w:tcMar>
          </w:tcPr>
          <w:p>
            <w:pPr>
              <w:spacing w:before="0" w:after="0"/>
              <w:jc w:val="left"/>
            </w:pPr>
            <w:r>
              <w:rPr>
                <w:b/>
                <w:color w:val="102A43"/>
                <w:sz w:val="17"/>
              </w:rPr>
              <w:t>Longer-term direction</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6"/>
              </w:rPr>
              <w:t>Build the operating foundation</w:t>
            </w:r>
          </w:p>
        </w:tc>
        <w:tc>
          <w:tcPr>
            <w:tcW w:type="dxa" w:w="3550"/>
            <w:vAlign w:val="center"/>
            <w:tcMar>
              <w:top w:w="80" w:type="dxa"/>
              <w:start w:w="120" w:type="dxa"/>
              <w:bottom w:w="80" w:type="dxa"/>
              <w:end w:w="120" w:type="dxa"/>
            </w:tcMar>
          </w:tcPr>
          <w:p>
            <w:pPr>
              <w:spacing w:before="0" w:after="20" w:line="252" w:lineRule="auto"/>
              <w:jc w:val="left"/>
            </w:pPr>
            <w:r>
              <w:rPr>
                <w:color w:val="1D2733"/>
                <w:sz w:val="16"/>
              </w:rPr>
              <w:t>Controlled corporate records, policies, finance, CRM, repositories, environments and governance</w:t>
            </w:r>
          </w:p>
        </w:tc>
        <w:tc>
          <w:tcPr>
            <w:tcW w:type="dxa" w:w="3610"/>
            <w:vAlign w:val="center"/>
            <w:tcMar>
              <w:top w:w="80" w:type="dxa"/>
              <w:start w:w="120" w:type="dxa"/>
              <w:bottom w:w="80" w:type="dxa"/>
              <w:end w:w="120" w:type="dxa"/>
            </w:tcMar>
          </w:tcPr>
          <w:p>
            <w:pPr>
              <w:spacing w:before="0" w:after="20" w:line="252" w:lineRule="auto"/>
              <w:jc w:val="left"/>
            </w:pPr>
            <w:r>
              <w:rPr>
                <w:color w:val="1D2733"/>
                <w:sz w:val="16"/>
              </w:rPr>
              <w:t>Auditable management systems that scale across markets</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6"/>
              </w:rPr>
              <w:t>Commercialise RME-powered Rihuum OS</w:t>
            </w:r>
          </w:p>
        </w:tc>
        <w:tc>
          <w:tcPr>
            <w:tcW w:type="dxa" w:w="3550"/>
            <w:vAlign w:val="center"/>
            <w:shd w:fill="FAFBFC"/>
            <w:tcMar>
              <w:top w:w="80" w:type="dxa"/>
              <w:start w:w="120" w:type="dxa"/>
              <w:bottom w:w="80" w:type="dxa"/>
              <w:end w:w="120" w:type="dxa"/>
            </w:tcMar>
          </w:tcPr>
          <w:p>
            <w:pPr>
              <w:spacing w:before="0" w:after="20" w:line="252" w:lineRule="auto"/>
              <w:jc w:val="left"/>
            </w:pPr>
            <w:r>
              <w:rPr>
                <w:color w:val="1D2733"/>
                <w:sz w:val="16"/>
              </w:rPr>
              <w:t>Validated RME core, Rihuum OS thin slice and paid lighthouse deployments</w:t>
            </w:r>
          </w:p>
        </w:tc>
        <w:tc>
          <w:tcPr>
            <w:tcW w:type="dxa" w:w="3610"/>
            <w:vAlign w:val="center"/>
            <w:shd w:fill="FAFBFC"/>
            <w:tcMar>
              <w:top w:w="80" w:type="dxa"/>
              <w:start w:w="120" w:type="dxa"/>
              <w:bottom w:w="80" w:type="dxa"/>
              <w:end w:w="120" w:type="dxa"/>
            </w:tcMar>
          </w:tcPr>
          <w:p>
            <w:pPr>
              <w:spacing w:before="0" w:after="20" w:line="252" w:lineRule="auto"/>
              <w:jc w:val="left"/>
            </w:pPr>
            <w:r>
              <w:rPr>
                <w:color w:val="1D2733"/>
                <w:sz w:val="16"/>
              </w:rPr>
              <w:t>Configurable platform with partner and module ecosystem</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6"/>
              </w:rPr>
              <w:t>Make AI governable and useful</w:t>
            </w:r>
          </w:p>
        </w:tc>
        <w:tc>
          <w:tcPr>
            <w:tcW w:type="dxa" w:w="3550"/>
            <w:vAlign w:val="center"/>
            <w:tcMar>
              <w:top w:w="80" w:type="dxa"/>
              <w:start w:w="120" w:type="dxa"/>
              <w:bottom w:w="80" w:type="dxa"/>
              <w:end w:w="120" w:type="dxa"/>
            </w:tcMar>
          </w:tcPr>
          <w:p>
            <w:pPr>
              <w:spacing w:before="0" w:after="20" w:line="252" w:lineRule="auto"/>
              <w:jc w:val="left"/>
            </w:pPr>
            <w:r>
              <w:rPr>
                <w:color w:val="1D2733"/>
                <w:sz w:val="16"/>
              </w:rPr>
              <w:t>RIA control plane, evaluated assistants and approved low-risk agents</w:t>
            </w:r>
          </w:p>
        </w:tc>
        <w:tc>
          <w:tcPr>
            <w:tcW w:type="dxa" w:w="3610"/>
            <w:vAlign w:val="center"/>
            <w:tcMar>
              <w:top w:w="80" w:type="dxa"/>
              <w:start w:w="120" w:type="dxa"/>
              <w:bottom w:w="80" w:type="dxa"/>
              <w:end w:w="120" w:type="dxa"/>
            </w:tcMar>
          </w:tcPr>
          <w:p>
            <w:pPr>
              <w:spacing w:before="0" w:after="20" w:line="252" w:lineRule="auto"/>
              <w:jc w:val="left"/>
            </w:pPr>
            <w:r>
              <w:rPr>
                <w:color w:val="1D2733"/>
                <w:sz w:val="16"/>
              </w:rPr>
              <w:t>Sector-specific, auditable multi-agent solutions</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6"/>
              </w:rPr>
              <w:t>Create recurring revenue</w:t>
            </w:r>
          </w:p>
        </w:tc>
        <w:tc>
          <w:tcPr>
            <w:tcW w:type="dxa" w:w="3550"/>
            <w:vAlign w:val="center"/>
            <w:shd w:fill="FAFBFC"/>
            <w:tcMar>
              <w:top w:w="80" w:type="dxa"/>
              <w:start w:w="120" w:type="dxa"/>
              <w:bottom w:w="80" w:type="dxa"/>
              <w:end w:w="120" w:type="dxa"/>
            </w:tcMar>
          </w:tcPr>
          <w:p>
            <w:pPr>
              <w:spacing w:before="0" w:after="20" w:line="252" w:lineRule="auto"/>
              <w:jc w:val="left"/>
            </w:pPr>
            <w:r>
              <w:rPr>
                <w:color w:val="1D2733"/>
                <w:sz w:val="16"/>
              </w:rPr>
              <w:t>Subscriptions, support retainers and managed services added to project income</w:t>
            </w:r>
          </w:p>
        </w:tc>
        <w:tc>
          <w:tcPr>
            <w:tcW w:type="dxa" w:w="3610"/>
            <w:vAlign w:val="center"/>
            <w:shd w:fill="FAFBFC"/>
            <w:tcMar>
              <w:top w:w="80" w:type="dxa"/>
              <w:start w:w="120" w:type="dxa"/>
              <w:bottom w:w="80" w:type="dxa"/>
              <w:end w:w="120" w:type="dxa"/>
            </w:tcMar>
          </w:tcPr>
          <w:p>
            <w:pPr>
              <w:spacing w:before="0" w:after="20" w:line="252" w:lineRule="auto"/>
              <w:jc w:val="left"/>
            </w:pPr>
            <w:r>
              <w:rPr>
                <w:color w:val="1D2733"/>
                <w:sz w:val="16"/>
              </w:rPr>
              <w:t>Majority of gross profit from repeatable products and contracted services</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6"/>
              </w:rPr>
              <w:t>Build digital talent</w:t>
            </w:r>
          </w:p>
        </w:tc>
        <w:tc>
          <w:tcPr>
            <w:tcW w:type="dxa" w:w="3550"/>
            <w:vAlign w:val="center"/>
            <w:tcMar>
              <w:top w:w="80" w:type="dxa"/>
              <w:start w:w="120" w:type="dxa"/>
              <w:bottom w:w="80" w:type="dxa"/>
              <w:end w:w="120" w:type="dxa"/>
            </w:tcMar>
          </w:tcPr>
          <w:p>
            <w:pPr>
              <w:spacing w:before="0" w:after="20" w:line="252" w:lineRule="auto"/>
              <w:jc w:val="left"/>
            </w:pPr>
            <w:r>
              <w:rPr>
                <w:color w:val="1D2733"/>
                <w:sz w:val="16"/>
              </w:rPr>
              <w:t>Academy pathways linked to internal apprenticeships and employer needs</w:t>
            </w:r>
          </w:p>
        </w:tc>
        <w:tc>
          <w:tcPr>
            <w:tcW w:type="dxa" w:w="3610"/>
            <w:vAlign w:val="center"/>
            <w:tcMar>
              <w:top w:w="80" w:type="dxa"/>
              <w:start w:w="120" w:type="dxa"/>
              <w:bottom w:w="80" w:type="dxa"/>
              <w:end w:w="120" w:type="dxa"/>
            </w:tcMar>
          </w:tcPr>
          <w:p>
            <w:pPr>
              <w:spacing w:before="0" w:after="20" w:line="252" w:lineRule="auto"/>
              <w:jc w:val="left"/>
            </w:pPr>
            <w:r>
              <w:rPr>
                <w:color w:val="1D2733"/>
                <w:sz w:val="16"/>
              </w:rPr>
              <w:t>Recognised African workforce-development and certification partnerships</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6"/>
              </w:rPr>
              <w:t>Earn trust</w:t>
            </w:r>
          </w:p>
        </w:tc>
        <w:tc>
          <w:tcPr>
            <w:tcW w:type="dxa" w:w="3550"/>
            <w:vAlign w:val="center"/>
            <w:shd w:fill="FAFBFC"/>
            <w:tcMar>
              <w:top w:w="80" w:type="dxa"/>
              <w:start w:w="120" w:type="dxa"/>
              <w:bottom w:w="80" w:type="dxa"/>
              <w:end w:w="120" w:type="dxa"/>
            </w:tcMar>
          </w:tcPr>
          <w:p>
            <w:pPr>
              <w:spacing w:before="0" w:after="20" w:line="252" w:lineRule="auto"/>
              <w:jc w:val="left"/>
            </w:pPr>
            <w:r>
              <w:rPr>
                <w:color w:val="1D2733"/>
                <w:sz w:val="16"/>
              </w:rPr>
              <w:t>Security, privacy, quality, support and incident processes implemented and measured</w:t>
            </w:r>
          </w:p>
        </w:tc>
        <w:tc>
          <w:tcPr>
            <w:tcW w:type="dxa" w:w="3610"/>
            <w:vAlign w:val="center"/>
            <w:shd w:fill="FAFBFC"/>
            <w:tcMar>
              <w:top w:w="80" w:type="dxa"/>
              <w:start w:w="120" w:type="dxa"/>
              <w:bottom w:w="80" w:type="dxa"/>
              <w:end w:w="120" w:type="dxa"/>
            </w:tcMar>
          </w:tcPr>
          <w:p>
            <w:pPr>
              <w:spacing w:before="0" w:after="20" w:line="252" w:lineRule="auto"/>
              <w:jc w:val="left"/>
            </w:pPr>
            <w:r>
              <w:rPr>
                <w:color w:val="1D2733"/>
                <w:sz w:val="16"/>
              </w:rPr>
              <w:t>Appropriate independent assurance and certifications when commercially justified</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6"/>
              </w:rPr>
              <w:t>Expand deliberately</w:t>
            </w:r>
          </w:p>
        </w:tc>
        <w:tc>
          <w:tcPr>
            <w:tcW w:type="dxa" w:w="3550"/>
            <w:vAlign w:val="center"/>
            <w:tcMar>
              <w:top w:w="80" w:type="dxa"/>
              <w:start w:w="120" w:type="dxa"/>
              <w:bottom w:w="80" w:type="dxa"/>
              <w:end w:w="120" w:type="dxa"/>
            </w:tcMar>
          </w:tcPr>
          <w:p>
            <w:pPr>
              <w:spacing w:before="0" w:after="20" w:line="252" w:lineRule="auto"/>
              <w:jc w:val="left"/>
            </w:pPr>
            <w:r>
              <w:rPr>
                <w:color w:val="1D2733"/>
                <w:sz w:val="16"/>
              </w:rPr>
              <w:t>Nigeria reference clients and repeatable sector plays</w:t>
            </w:r>
          </w:p>
        </w:tc>
        <w:tc>
          <w:tcPr>
            <w:tcW w:type="dxa" w:w="3610"/>
            <w:vAlign w:val="center"/>
            <w:tcMar>
              <w:top w:w="80" w:type="dxa"/>
              <w:start w:w="120" w:type="dxa"/>
              <w:bottom w:w="80" w:type="dxa"/>
              <w:end w:w="120" w:type="dxa"/>
            </w:tcMar>
          </w:tcPr>
          <w:p>
            <w:pPr>
              <w:spacing w:before="0" w:after="20" w:line="252" w:lineRule="auto"/>
              <w:jc w:val="left"/>
            </w:pPr>
            <w:r>
              <w:rPr>
                <w:color w:val="1D2733"/>
                <w:sz w:val="16"/>
              </w:rPr>
              <w:t>Phased West African, African and selected global operations</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6"/>
              </w:rPr>
              <w:t>Institutionalise innovation</w:t>
            </w:r>
          </w:p>
        </w:tc>
        <w:tc>
          <w:tcPr>
            <w:tcW w:type="dxa" w:w="3550"/>
            <w:vAlign w:val="center"/>
            <w:shd w:fill="FAFBFC"/>
            <w:tcMar>
              <w:top w:w="80" w:type="dxa"/>
              <w:start w:w="120" w:type="dxa"/>
              <w:bottom w:w="80" w:type="dxa"/>
              <w:end w:w="120" w:type="dxa"/>
            </w:tcMar>
          </w:tcPr>
          <w:p>
            <w:pPr>
              <w:spacing w:before="0" w:after="20" w:line="252" w:lineRule="auto"/>
              <w:jc w:val="left"/>
            </w:pPr>
            <w:r>
              <w:rPr>
                <w:color w:val="1D2733"/>
                <w:sz w:val="16"/>
              </w:rPr>
              <w:t>Research backlog, experiments, evidence gates and IP register</w:t>
            </w:r>
          </w:p>
        </w:tc>
        <w:tc>
          <w:tcPr>
            <w:tcW w:type="dxa" w:w="3610"/>
            <w:vAlign w:val="center"/>
            <w:shd w:fill="FAFBFC"/>
            <w:tcMar>
              <w:top w:w="80" w:type="dxa"/>
              <w:start w:w="120" w:type="dxa"/>
              <w:bottom w:w="80" w:type="dxa"/>
              <w:end w:w="120" w:type="dxa"/>
            </w:tcMar>
          </w:tcPr>
          <w:p>
            <w:pPr>
              <w:spacing w:before="0" w:after="20" w:line="252" w:lineRule="auto"/>
              <w:jc w:val="left"/>
            </w:pPr>
            <w:r>
              <w:rPr>
                <w:color w:val="1D2733"/>
                <w:sz w:val="16"/>
              </w:rPr>
              <w:t>Venture builder and commercialisation engine</w:t>
            </w:r>
          </w:p>
        </w:tc>
      </w:tr>
    </w:tbl>
    <w:p>
      <w:pPr>
        <w:pStyle w:val="SmallNote"/>
      </w:pPr>
      <w:r>
        <w:t>Targets are intentionally outcome-based. Numeric targets must be set after the first 90-day baseline and annual budget are reconciled; unsupported numbers would create false precision.</w:t>
      </w:r>
    </w:p>
    <w:p>
      <w:bookmarkStart w:id="4" w:name="sec04"/>
      <w:pPr>
        <w:pStyle w:val="Heading1"/>
        <w:keepNext/>
        <w:pageBreakBefore/>
      </w:pPr>
      <w:r>
        <w:t>SECTION 04 | Corporate and Departmental Structure</w:t>
      </w:r>
      <w:bookmarkEnd w:id="4"/>
    </w:p>
    <w:p>
      <w:pPr>
        <w:pStyle w:val="LeadCallout"/>
        <w:shd w:fill="F4F6F9"/>
        <w:pBdr>
          <w:left w:val="single" w:sz="18" w:space="8" w:color="C99A2E"/>
        </w:pBdr>
      </w:pPr>
      <w:r>
        <w:rPr>
          <w:b/>
          <w:color w:val="102A43"/>
        </w:rPr>
        <w:t xml:space="preserve">Organisation design: </w:t>
      </w:r>
      <w:r>
        <w:t>Use a lean matrix: market-facing business units own customers and commercial outcomes; shared enterprise functions own standards, scarce capability and common platforms; cross-functional product teams deliver end-to-end outcomes.</w:t>
      </w:r>
    </w:p>
    <w:p>
      <w:pPr>
        <w:pStyle w:val="Heading2"/>
      </w:pPr>
      <w:r>
        <w:t>Governance and executive structure</w:t>
      </w:r>
    </w:p>
    <w:p>
      <w:pPr>
        <w:pStyle w:val="ListBullet"/>
        <w:keepLines/>
      </w:pPr>
      <w:r>
        <w:rPr>
          <w:b/>
        </w:rPr>
        <w:t xml:space="preserve">Board of Directors: </w:t>
      </w:r>
      <w:r>
        <w:t>Strategy, risk appetite, capital, statutory oversight, executive accountability and reserved decisions.</w:t>
      </w:r>
    </w:p>
    <w:p>
      <w:pPr>
        <w:pStyle w:val="ListBullet"/>
        <w:keepLines/>
      </w:pPr>
      <w:r>
        <w:rPr>
          <w:b/>
        </w:rPr>
        <w:t xml:space="preserve">Managing Director/CEO: </w:t>
      </w:r>
      <w:r>
        <w:t>Enterprise performance, portfolio priorities, culture, external relationships and execution of board direction.</w:t>
      </w:r>
    </w:p>
    <w:p>
      <w:pPr>
        <w:pStyle w:val="ListBullet"/>
        <w:keepLines/>
      </w:pPr>
      <w:r>
        <w:rPr>
          <w:b/>
        </w:rPr>
        <w:t xml:space="preserve">Executive Leadership Team: </w:t>
      </w:r>
      <w:r>
        <w:t>Technology, product, finance, operations, commercial, people, legal/compliance and customer-success decisions.</w:t>
      </w:r>
    </w:p>
    <w:p>
      <w:pPr>
        <w:pStyle w:val="ListBullet"/>
        <w:keepLines/>
      </w:pPr>
      <w:r>
        <w:rPr>
          <w:b/>
        </w:rPr>
        <w:t xml:space="preserve">Company Secretary/Legal: </w:t>
      </w:r>
      <w:r>
        <w:t>Statutory registers, filings, board governance, contracts, IP and regulator coordination.</w:t>
      </w:r>
    </w:p>
    <w:p>
      <w:pPr>
        <w:pStyle w:val="ListBullet"/>
        <w:keepLines/>
      </w:pPr>
      <w:r>
        <w:rPr>
          <w:b/>
        </w:rPr>
        <w:t xml:space="preserve">Portfolio and Investment Committee: </w:t>
      </w:r>
      <w:r>
        <w:t>Prioritisation, stage-gate funding, product retirement and partnership decisions.</w:t>
      </w:r>
    </w:p>
    <w:p>
      <w:pPr>
        <w:pStyle w:val="ListBullet"/>
        <w:keepLines/>
      </w:pPr>
      <w:r>
        <w:rPr>
          <w:b/>
        </w:rPr>
        <w:t xml:space="preserve">Technology, Data and AI Council: </w:t>
      </w:r>
      <w:r>
        <w:t>Architecture, security, privacy, AI governance, platform standards and material exceptions.</w:t>
      </w:r>
    </w:p>
    <w:p>
      <w:pPr>
        <w:pStyle w:val="Heading2"/>
      </w:pPr>
      <w:r>
        <w:t>Departments and business units</w:t>
      </w:r>
    </w:p>
    <w:p>
      <w:pPr>
        <w:pStyle w:val="Caption"/>
      </w:pPr>
      <w:r>
        <w:t>Table 9. Target organisational structure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350"/>
        <w:gridCol w:w="5000"/>
        <w:gridCol w:w="2010"/>
      </w:tblGrid>
      <w:tr>
        <w:trPr>
          <w:tblHeader w:val="true"/>
          <w:cantSplit/>
        </w:trPr>
        <w:tc>
          <w:tcPr>
            <w:tcW w:type="dxa" w:w="2350"/>
            <w:vAlign w:val="center"/>
            <w:shd w:fill="F2F4F7"/>
            <w:tcMar>
              <w:top w:w="80" w:type="dxa"/>
              <w:start w:w="120" w:type="dxa"/>
              <w:bottom w:w="80" w:type="dxa"/>
              <w:end w:w="120" w:type="dxa"/>
            </w:tcMar>
          </w:tcPr>
          <w:p>
            <w:pPr>
              <w:spacing w:before="0" w:after="0"/>
              <w:jc w:val="center"/>
            </w:pPr>
            <w:r>
              <w:rPr>
                <w:b/>
                <w:color w:val="102A43"/>
                <w:sz w:val="17"/>
              </w:rPr>
              <w:t>Group</w:t>
            </w:r>
          </w:p>
        </w:tc>
        <w:tc>
          <w:tcPr>
            <w:tcW w:type="dxa" w:w="5000"/>
            <w:vAlign w:val="center"/>
            <w:shd w:fill="F2F4F7"/>
            <w:tcMar>
              <w:top w:w="80" w:type="dxa"/>
              <w:start w:w="120" w:type="dxa"/>
              <w:bottom w:w="80" w:type="dxa"/>
              <w:end w:w="120" w:type="dxa"/>
            </w:tcMar>
          </w:tcPr>
          <w:p>
            <w:pPr>
              <w:spacing w:before="0" w:after="0"/>
              <w:jc w:val="left"/>
            </w:pPr>
            <w:r>
              <w:rPr>
                <w:b/>
                <w:color w:val="102A43"/>
                <w:sz w:val="17"/>
              </w:rPr>
              <w:t>Core accountability</w:t>
            </w:r>
          </w:p>
        </w:tc>
        <w:tc>
          <w:tcPr>
            <w:tcW w:type="dxa" w:w="2010"/>
            <w:vAlign w:val="center"/>
            <w:shd w:fill="F2F4F7"/>
            <w:tcMar>
              <w:top w:w="80" w:type="dxa"/>
              <w:start w:w="120" w:type="dxa"/>
              <w:bottom w:w="80" w:type="dxa"/>
              <w:end w:w="120" w:type="dxa"/>
            </w:tcMar>
          </w:tcPr>
          <w:p>
            <w:pPr>
              <w:spacing w:before="0" w:after="0"/>
              <w:jc w:val="left"/>
            </w:pPr>
            <w:r>
              <w:rPr>
                <w:b/>
                <w:color w:val="102A43"/>
                <w:sz w:val="17"/>
              </w:rPr>
              <w:t>Initial accountable lead</w:t>
            </w:r>
          </w:p>
        </w:tc>
      </w:tr>
      <w:tr>
        <w:trPr>
          <w:cantSplit/>
        </w:trPr>
        <w:tc>
          <w:tcPr>
            <w:tcW w:type="dxa" w:w="2350"/>
            <w:vAlign w:val="center"/>
            <w:tcMar>
              <w:top w:w="80" w:type="dxa"/>
              <w:start w:w="120" w:type="dxa"/>
              <w:bottom w:w="80" w:type="dxa"/>
              <w:end w:w="120" w:type="dxa"/>
            </w:tcMar>
          </w:tcPr>
          <w:p>
            <w:pPr>
              <w:spacing w:before="0" w:after="20" w:line="252" w:lineRule="auto"/>
              <w:jc w:val="left"/>
            </w:pPr>
            <w:r>
              <w:rPr>
                <w:color w:val="1D2733"/>
                <w:sz w:val="16"/>
              </w:rPr>
              <w:t>Strategy, PMO and Corporate Development</w:t>
            </w:r>
          </w:p>
        </w:tc>
        <w:tc>
          <w:tcPr>
            <w:tcW w:type="dxa" w:w="5000"/>
            <w:vAlign w:val="center"/>
            <w:tcMar>
              <w:top w:w="80" w:type="dxa"/>
              <w:start w:w="120" w:type="dxa"/>
              <w:bottom w:w="80" w:type="dxa"/>
              <w:end w:w="120" w:type="dxa"/>
            </w:tcMar>
          </w:tcPr>
          <w:p>
            <w:pPr>
              <w:spacing w:before="0" w:after="20" w:line="252" w:lineRule="auto"/>
              <w:jc w:val="left"/>
            </w:pPr>
            <w:r>
              <w:rPr>
                <w:color w:val="1D2733"/>
                <w:sz w:val="16"/>
              </w:rPr>
              <w:t>Strategy deployment, portfolio, partnerships, investors, research and performance reporting</w:t>
            </w:r>
          </w:p>
        </w:tc>
        <w:tc>
          <w:tcPr>
            <w:tcW w:type="dxa" w:w="2010"/>
            <w:vAlign w:val="center"/>
            <w:tcMar>
              <w:top w:w="80" w:type="dxa"/>
              <w:start w:w="120" w:type="dxa"/>
              <w:bottom w:w="80" w:type="dxa"/>
              <w:end w:w="120" w:type="dxa"/>
            </w:tcMar>
          </w:tcPr>
          <w:p>
            <w:pPr>
              <w:spacing w:before="0" w:after="20" w:line="252" w:lineRule="auto"/>
              <w:jc w:val="left"/>
            </w:pPr>
            <w:r>
              <w:rPr>
                <w:color w:val="1D2733"/>
                <w:sz w:val="16"/>
              </w:rPr>
              <w:t>CEO / Strategy lead</w:t>
            </w:r>
          </w:p>
        </w:tc>
      </w:tr>
      <w:tr>
        <w:trPr>
          <w:cantSplit/>
        </w:trPr>
        <w:tc>
          <w:tcPr>
            <w:tcW w:type="dxa" w:w="2350"/>
            <w:vAlign w:val="center"/>
            <w:shd w:fill="FAFBFC"/>
            <w:tcMar>
              <w:top w:w="80" w:type="dxa"/>
              <w:start w:w="120" w:type="dxa"/>
              <w:bottom w:w="80" w:type="dxa"/>
              <w:end w:w="120" w:type="dxa"/>
            </w:tcMar>
          </w:tcPr>
          <w:p>
            <w:pPr>
              <w:spacing w:before="0" w:after="20" w:line="252" w:lineRule="auto"/>
              <w:jc w:val="left"/>
            </w:pPr>
            <w:r>
              <w:rPr>
                <w:color w:val="1D2733"/>
                <w:sz w:val="16"/>
              </w:rPr>
              <w:t>Product and Experience</w:t>
            </w:r>
          </w:p>
        </w:tc>
        <w:tc>
          <w:tcPr>
            <w:tcW w:type="dxa" w:w="5000"/>
            <w:vAlign w:val="center"/>
            <w:shd w:fill="FAFBFC"/>
            <w:tcMar>
              <w:top w:w="80" w:type="dxa"/>
              <w:start w:w="120" w:type="dxa"/>
              <w:bottom w:w="80" w:type="dxa"/>
              <w:end w:w="120" w:type="dxa"/>
            </w:tcMar>
          </w:tcPr>
          <w:p>
            <w:pPr>
              <w:spacing w:before="0" w:after="20" w:line="252" w:lineRule="auto"/>
              <w:jc w:val="left"/>
            </w:pPr>
            <w:r>
              <w:rPr>
                <w:color w:val="1D2733"/>
                <w:sz w:val="16"/>
              </w:rPr>
              <w:t>Discovery, product management, UX, portfolio lifecycle and commercial packaging</w:t>
            </w:r>
          </w:p>
        </w:tc>
        <w:tc>
          <w:tcPr>
            <w:tcW w:type="dxa" w:w="2010"/>
            <w:vAlign w:val="center"/>
            <w:shd w:fill="FAFBFC"/>
            <w:tcMar>
              <w:top w:w="80" w:type="dxa"/>
              <w:start w:w="120" w:type="dxa"/>
              <w:bottom w:w="80" w:type="dxa"/>
              <w:end w:w="120" w:type="dxa"/>
            </w:tcMar>
          </w:tcPr>
          <w:p>
            <w:pPr>
              <w:spacing w:before="0" w:after="20" w:line="252" w:lineRule="auto"/>
              <w:jc w:val="left"/>
            </w:pPr>
            <w:r>
              <w:rPr>
                <w:color w:val="1D2733"/>
                <w:sz w:val="16"/>
              </w:rPr>
              <w:t>Head of Product</w:t>
            </w:r>
          </w:p>
        </w:tc>
      </w:tr>
      <w:tr>
        <w:trPr>
          <w:cantSplit/>
        </w:trPr>
        <w:tc>
          <w:tcPr>
            <w:tcW w:type="dxa" w:w="2350"/>
            <w:vAlign w:val="center"/>
            <w:tcMar>
              <w:top w:w="80" w:type="dxa"/>
              <w:start w:w="120" w:type="dxa"/>
              <w:bottom w:w="80" w:type="dxa"/>
              <w:end w:w="120" w:type="dxa"/>
            </w:tcMar>
          </w:tcPr>
          <w:p>
            <w:pPr>
              <w:spacing w:before="0" w:after="20" w:line="252" w:lineRule="auto"/>
              <w:jc w:val="left"/>
            </w:pPr>
            <w:r>
              <w:rPr>
                <w:color w:val="1D2733"/>
                <w:sz w:val="16"/>
              </w:rPr>
              <w:t>Engineering, RME and Rihuum OS</w:t>
            </w:r>
          </w:p>
        </w:tc>
        <w:tc>
          <w:tcPr>
            <w:tcW w:type="dxa" w:w="5000"/>
            <w:vAlign w:val="center"/>
            <w:tcMar>
              <w:top w:w="80" w:type="dxa"/>
              <w:start w:w="120" w:type="dxa"/>
              <w:bottom w:w="80" w:type="dxa"/>
              <w:end w:w="120" w:type="dxa"/>
            </w:tcMar>
          </w:tcPr>
          <w:p>
            <w:pPr>
              <w:spacing w:before="0" w:after="20" w:line="252" w:lineRule="auto"/>
              <w:jc w:val="left"/>
            </w:pPr>
            <w:r>
              <w:rPr>
                <w:color w:val="1D2733"/>
                <w:sz w:val="16"/>
              </w:rPr>
              <w:t>Shared-core architecture, software, integrations, DevSecOps, reliability and technical documentation</w:t>
            </w:r>
          </w:p>
        </w:tc>
        <w:tc>
          <w:tcPr>
            <w:tcW w:type="dxa" w:w="2010"/>
            <w:vAlign w:val="center"/>
            <w:tcMar>
              <w:top w:w="80" w:type="dxa"/>
              <w:start w:w="120" w:type="dxa"/>
              <w:bottom w:w="80" w:type="dxa"/>
              <w:end w:w="120" w:type="dxa"/>
            </w:tcMar>
          </w:tcPr>
          <w:p>
            <w:pPr>
              <w:spacing w:before="0" w:after="20" w:line="252" w:lineRule="auto"/>
              <w:jc w:val="left"/>
            </w:pPr>
            <w:r>
              <w:rPr>
                <w:color w:val="1D2733"/>
                <w:sz w:val="16"/>
              </w:rPr>
              <w:t>CTO / Engineering lead</w:t>
            </w:r>
          </w:p>
        </w:tc>
      </w:tr>
      <w:tr>
        <w:trPr>
          <w:cantSplit/>
        </w:trPr>
        <w:tc>
          <w:tcPr>
            <w:tcW w:type="dxa" w:w="2350"/>
            <w:vAlign w:val="center"/>
            <w:shd w:fill="FAFBFC"/>
            <w:tcMar>
              <w:top w:w="80" w:type="dxa"/>
              <w:start w:w="120" w:type="dxa"/>
              <w:bottom w:w="80" w:type="dxa"/>
              <w:end w:w="120" w:type="dxa"/>
            </w:tcMar>
          </w:tcPr>
          <w:p>
            <w:pPr>
              <w:spacing w:before="0" w:after="20" w:line="252" w:lineRule="auto"/>
              <w:jc w:val="left"/>
            </w:pPr>
            <w:r>
              <w:rPr>
                <w:color w:val="1D2733"/>
                <w:sz w:val="16"/>
              </w:rPr>
              <w:t>AI, Data and Automation</w:t>
            </w:r>
          </w:p>
        </w:tc>
        <w:tc>
          <w:tcPr>
            <w:tcW w:type="dxa" w:w="5000"/>
            <w:vAlign w:val="center"/>
            <w:shd w:fill="FAFBFC"/>
            <w:tcMar>
              <w:top w:w="80" w:type="dxa"/>
              <w:start w:w="120" w:type="dxa"/>
              <w:bottom w:w="80" w:type="dxa"/>
              <w:end w:w="120" w:type="dxa"/>
            </w:tcMar>
          </w:tcPr>
          <w:p>
            <w:pPr>
              <w:spacing w:before="0" w:after="20" w:line="252" w:lineRule="auto"/>
              <w:jc w:val="left"/>
            </w:pPr>
            <w:r>
              <w:rPr>
                <w:color w:val="1D2733"/>
                <w:sz w:val="16"/>
              </w:rPr>
              <w:t>RIA, AI/ML, analytics, knowledge systems, evaluation and automation</w:t>
            </w:r>
          </w:p>
        </w:tc>
        <w:tc>
          <w:tcPr>
            <w:tcW w:type="dxa" w:w="2010"/>
            <w:vAlign w:val="center"/>
            <w:shd w:fill="FAFBFC"/>
            <w:tcMar>
              <w:top w:w="80" w:type="dxa"/>
              <w:start w:w="120" w:type="dxa"/>
              <w:bottom w:w="80" w:type="dxa"/>
              <w:end w:w="120" w:type="dxa"/>
            </w:tcMar>
          </w:tcPr>
          <w:p>
            <w:pPr>
              <w:spacing w:before="0" w:after="20" w:line="252" w:lineRule="auto"/>
              <w:jc w:val="center"/>
            </w:pPr>
            <w:r>
              <w:rPr>
                <w:color w:val="1D2733"/>
                <w:sz w:val="16"/>
              </w:rPr>
              <w:t>AI/Data lead</w:t>
            </w:r>
          </w:p>
        </w:tc>
      </w:tr>
      <w:tr>
        <w:trPr>
          <w:cantSplit/>
        </w:trPr>
        <w:tc>
          <w:tcPr>
            <w:tcW w:type="dxa" w:w="2350"/>
            <w:vAlign w:val="center"/>
            <w:tcMar>
              <w:top w:w="80" w:type="dxa"/>
              <w:start w:w="120" w:type="dxa"/>
              <w:bottom w:w="80" w:type="dxa"/>
              <w:end w:w="120" w:type="dxa"/>
            </w:tcMar>
          </w:tcPr>
          <w:p>
            <w:pPr>
              <w:spacing w:before="0" w:after="20" w:line="252" w:lineRule="auto"/>
              <w:jc w:val="left"/>
            </w:pPr>
            <w:r>
              <w:rPr>
                <w:color w:val="1D2733"/>
                <w:sz w:val="16"/>
              </w:rPr>
              <w:t>Cybersecurity and Digital Trust</w:t>
            </w:r>
          </w:p>
        </w:tc>
        <w:tc>
          <w:tcPr>
            <w:tcW w:type="dxa" w:w="5000"/>
            <w:vAlign w:val="center"/>
            <w:tcMar>
              <w:top w:w="80" w:type="dxa"/>
              <w:start w:w="120" w:type="dxa"/>
              <w:bottom w:w="80" w:type="dxa"/>
              <w:end w:w="120" w:type="dxa"/>
            </w:tcMar>
          </w:tcPr>
          <w:p>
            <w:pPr>
              <w:spacing w:before="0" w:after="20" w:line="252" w:lineRule="auto"/>
              <w:jc w:val="left"/>
            </w:pPr>
            <w:r>
              <w:rPr>
                <w:color w:val="1D2733"/>
                <w:sz w:val="16"/>
              </w:rPr>
              <w:t>Security, privacy engineering, GRC, incident response and assurance</w:t>
            </w:r>
          </w:p>
        </w:tc>
        <w:tc>
          <w:tcPr>
            <w:tcW w:type="dxa" w:w="2010"/>
            <w:vAlign w:val="center"/>
            <w:tcMar>
              <w:top w:w="80" w:type="dxa"/>
              <w:start w:w="120" w:type="dxa"/>
              <w:bottom w:w="80" w:type="dxa"/>
              <w:end w:w="120" w:type="dxa"/>
            </w:tcMar>
          </w:tcPr>
          <w:p>
            <w:pPr>
              <w:spacing w:before="0" w:after="20" w:line="252" w:lineRule="auto"/>
              <w:jc w:val="left"/>
            </w:pPr>
            <w:r>
              <w:rPr>
                <w:color w:val="1D2733"/>
                <w:sz w:val="16"/>
              </w:rPr>
              <w:t>Security/Privacy lead</w:t>
            </w:r>
          </w:p>
        </w:tc>
      </w:tr>
      <w:tr>
        <w:trPr>
          <w:cantSplit/>
        </w:trPr>
        <w:tc>
          <w:tcPr>
            <w:tcW w:type="dxa" w:w="2350"/>
            <w:vAlign w:val="center"/>
            <w:shd w:fill="FAFBFC"/>
            <w:tcMar>
              <w:top w:w="80" w:type="dxa"/>
              <w:start w:w="120" w:type="dxa"/>
              <w:bottom w:w="80" w:type="dxa"/>
              <w:end w:w="120" w:type="dxa"/>
            </w:tcMar>
          </w:tcPr>
          <w:p>
            <w:pPr>
              <w:spacing w:before="0" w:after="20" w:line="252" w:lineRule="auto"/>
              <w:jc w:val="left"/>
            </w:pPr>
            <w:r>
              <w:rPr>
                <w:color w:val="1D2733"/>
                <w:sz w:val="16"/>
              </w:rPr>
              <w:t>Commercial and Marketing</w:t>
            </w:r>
          </w:p>
        </w:tc>
        <w:tc>
          <w:tcPr>
            <w:tcW w:type="dxa" w:w="5000"/>
            <w:vAlign w:val="center"/>
            <w:shd w:fill="FAFBFC"/>
            <w:tcMar>
              <w:top w:w="80" w:type="dxa"/>
              <w:start w:w="120" w:type="dxa"/>
              <w:bottom w:w="80" w:type="dxa"/>
              <w:end w:w="120" w:type="dxa"/>
            </w:tcMar>
          </w:tcPr>
          <w:p>
            <w:pPr>
              <w:spacing w:before="0" w:after="20" w:line="252" w:lineRule="auto"/>
              <w:jc w:val="left"/>
            </w:pPr>
            <w:r>
              <w:rPr>
                <w:color w:val="1D2733"/>
                <w:sz w:val="16"/>
              </w:rPr>
              <w:t>Market research, sales, pricing, proposals, brand, content, social and partner channels</w:t>
            </w:r>
          </w:p>
        </w:tc>
        <w:tc>
          <w:tcPr>
            <w:tcW w:type="dxa" w:w="2010"/>
            <w:vAlign w:val="center"/>
            <w:shd w:fill="FAFBFC"/>
            <w:tcMar>
              <w:top w:w="80" w:type="dxa"/>
              <w:start w:w="120" w:type="dxa"/>
              <w:bottom w:w="80" w:type="dxa"/>
              <w:end w:w="120" w:type="dxa"/>
            </w:tcMar>
          </w:tcPr>
          <w:p>
            <w:pPr>
              <w:spacing w:before="0" w:after="20" w:line="252" w:lineRule="auto"/>
              <w:jc w:val="left"/>
            </w:pPr>
            <w:r>
              <w:rPr>
                <w:color w:val="1D2733"/>
                <w:sz w:val="16"/>
              </w:rPr>
              <w:t>Commercial lead</w:t>
            </w:r>
          </w:p>
        </w:tc>
      </w:tr>
      <w:tr>
        <w:trPr>
          <w:cantSplit/>
        </w:trPr>
        <w:tc>
          <w:tcPr>
            <w:tcW w:type="dxa" w:w="2350"/>
            <w:vAlign w:val="center"/>
            <w:tcMar>
              <w:top w:w="80" w:type="dxa"/>
              <w:start w:w="120" w:type="dxa"/>
              <w:bottom w:w="80" w:type="dxa"/>
              <w:end w:w="120" w:type="dxa"/>
            </w:tcMar>
          </w:tcPr>
          <w:p>
            <w:pPr>
              <w:spacing w:before="0" w:after="20" w:line="252" w:lineRule="auto"/>
              <w:jc w:val="left"/>
            </w:pPr>
            <w:r>
              <w:rPr>
                <w:color w:val="1D2733"/>
                <w:sz w:val="16"/>
              </w:rPr>
              <w:t>Customer Success and Service Operations</w:t>
            </w:r>
          </w:p>
        </w:tc>
        <w:tc>
          <w:tcPr>
            <w:tcW w:type="dxa" w:w="5000"/>
            <w:vAlign w:val="center"/>
            <w:tcMar>
              <w:top w:w="80" w:type="dxa"/>
              <w:start w:w="120" w:type="dxa"/>
              <w:bottom w:w="80" w:type="dxa"/>
              <w:end w:w="120" w:type="dxa"/>
            </w:tcMar>
          </w:tcPr>
          <w:p>
            <w:pPr>
              <w:spacing w:before="0" w:after="20" w:line="252" w:lineRule="auto"/>
              <w:jc w:val="left"/>
            </w:pPr>
            <w:r>
              <w:rPr>
                <w:color w:val="1D2733"/>
                <w:sz w:val="16"/>
              </w:rPr>
              <w:t>Onboarding, adoption, support, SLAs, renewals, managed services and knowledge base</w:t>
            </w:r>
          </w:p>
        </w:tc>
        <w:tc>
          <w:tcPr>
            <w:tcW w:type="dxa" w:w="2010"/>
            <w:vAlign w:val="center"/>
            <w:tcMar>
              <w:top w:w="80" w:type="dxa"/>
              <w:start w:w="120" w:type="dxa"/>
              <w:bottom w:w="80" w:type="dxa"/>
              <w:end w:w="120" w:type="dxa"/>
            </w:tcMar>
          </w:tcPr>
          <w:p>
            <w:pPr>
              <w:spacing w:before="0" w:after="20" w:line="252" w:lineRule="auto"/>
              <w:jc w:val="center"/>
            </w:pPr>
            <w:r>
              <w:rPr>
                <w:color w:val="1D2733"/>
                <w:sz w:val="16"/>
              </w:rPr>
              <w:t>Service lead</w:t>
            </w:r>
          </w:p>
        </w:tc>
      </w:tr>
      <w:tr>
        <w:trPr>
          <w:cantSplit/>
        </w:trPr>
        <w:tc>
          <w:tcPr>
            <w:tcW w:type="dxa" w:w="2350"/>
            <w:vAlign w:val="center"/>
            <w:shd w:fill="FAFBFC"/>
            <w:tcMar>
              <w:top w:w="80" w:type="dxa"/>
              <w:start w:w="120" w:type="dxa"/>
              <w:bottom w:w="80" w:type="dxa"/>
              <w:end w:w="120" w:type="dxa"/>
            </w:tcMar>
          </w:tcPr>
          <w:p>
            <w:pPr>
              <w:spacing w:before="0" w:after="20" w:line="252" w:lineRule="auto"/>
              <w:jc w:val="left"/>
            </w:pPr>
            <w:r>
              <w:rPr>
                <w:color w:val="1D2733"/>
                <w:sz w:val="16"/>
              </w:rPr>
              <w:t>Rihuum Technology and Digital Hub</w:t>
            </w:r>
          </w:p>
        </w:tc>
        <w:tc>
          <w:tcPr>
            <w:tcW w:type="dxa" w:w="5000"/>
            <w:vAlign w:val="center"/>
            <w:shd w:fill="FAFBFC"/>
            <w:tcMar>
              <w:top w:w="80" w:type="dxa"/>
              <w:start w:w="120" w:type="dxa"/>
              <w:bottom w:w="80" w:type="dxa"/>
              <w:end w:w="120" w:type="dxa"/>
            </w:tcMar>
          </w:tcPr>
          <w:p>
            <w:pPr>
              <w:spacing w:before="0" w:after="20" w:line="252" w:lineRule="auto"/>
              <w:jc w:val="left"/>
            </w:pPr>
            <w:r>
              <w:rPr>
                <w:color w:val="1D2733"/>
                <w:sz w:val="16"/>
              </w:rPr>
              <w:t>Curriculum, instructors, learning operations, labs, certifications and employer outcomes</w:t>
            </w:r>
          </w:p>
        </w:tc>
        <w:tc>
          <w:tcPr>
            <w:tcW w:type="dxa" w:w="2010"/>
            <w:vAlign w:val="center"/>
            <w:shd w:fill="FAFBFC"/>
            <w:tcMar>
              <w:top w:w="80" w:type="dxa"/>
              <w:start w:w="120" w:type="dxa"/>
              <w:bottom w:w="80" w:type="dxa"/>
              <w:end w:w="120" w:type="dxa"/>
            </w:tcMar>
          </w:tcPr>
          <w:p>
            <w:pPr>
              <w:spacing w:before="0" w:after="20" w:line="252" w:lineRule="auto"/>
              <w:jc w:val="left"/>
            </w:pPr>
            <w:r>
              <w:rPr>
                <w:color w:val="1D2733"/>
                <w:sz w:val="16"/>
              </w:rPr>
              <w:t>Academy director</w:t>
            </w:r>
          </w:p>
        </w:tc>
      </w:tr>
      <w:tr>
        <w:trPr>
          <w:cantSplit/>
        </w:trPr>
        <w:tc>
          <w:tcPr>
            <w:tcW w:type="dxa" w:w="2350"/>
            <w:vAlign w:val="center"/>
            <w:tcMar>
              <w:top w:w="80" w:type="dxa"/>
              <w:start w:w="120" w:type="dxa"/>
              <w:bottom w:w="80" w:type="dxa"/>
              <w:end w:w="120" w:type="dxa"/>
            </w:tcMar>
          </w:tcPr>
          <w:p>
            <w:pPr>
              <w:spacing w:before="0" w:after="20" w:line="252" w:lineRule="auto"/>
              <w:jc w:val="left"/>
            </w:pPr>
            <w:r>
              <w:rPr>
                <w:color w:val="1D2733"/>
                <w:sz w:val="16"/>
              </w:rPr>
              <w:t>Smart Infrastructure and Security Solutions</w:t>
            </w:r>
          </w:p>
        </w:tc>
        <w:tc>
          <w:tcPr>
            <w:tcW w:type="dxa" w:w="5000"/>
            <w:vAlign w:val="center"/>
            <w:tcMar>
              <w:top w:w="80" w:type="dxa"/>
              <w:start w:w="120" w:type="dxa"/>
              <w:bottom w:w="80" w:type="dxa"/>
              <w:end w:w="120" w:type="dxa"/>
            </w:tcMar>
          </w:tcPr>
          <w:p>
            <w:pPr>
              <w:spacing w:before="0" w:after="20" w:line="252" w:lineRule="auto"/>
              <w:jc w:val="left"/>
            </w:pPr>
            <w:r>
              <w:rPr>
                <w:color w:val="1D2733"/>
                <w:sz w:val="16"/>
              </w:rPr>
              <w:t>CCTV, access control, networking, IoT, telematics, automation and field services</w:t>
            </w:r>
          </w:p>
        </w:tc>
        <w:tc>
          <w:tcPr>
            <w:tcW w:type="dxa" w:w="2010"/>
            <w:vAlign w:val="center"/>
            <w:tcMar>
              <w:top w:w="80" w:type="dxa"/>
              <w:start w:w="120" w:type="dxa"/>
              <w:bottom w:w="80" w:type="dxa"/>
              <w:end w:w="120" w:type="dxa"/>
            </w:tcMar>
          </w:tcPr>
          <w:p>
            <w:pPr>
              <w:spacing w:before="0" w:after="20" w:line="252" w:lineRule="auto"/>
              <w:jc w:val="left"/>
            </w:pPr>
            <w:r>
              <w:rPr>
                <w:color w:val="1D2733"/>
                <w:sz w:val="16"/>
              </w:rPr>
              <w:t>Solutions lead</w:t>
            </w:r>
          </w:p>
        </w:tc>
      </w:tr>
      <w:tr>
        <w:trPr>
          <w:cantSplit/>
        </w:trPr>
        <w:tc>
          <w:tcPr>
            <w:tcW w:type="dxa" w:w="2350"/>
            <w:vAlign w:val="center"/>
            <w:shd w:fill="FAFBFC"/>
            <w:tcMar>
              <w:top w:w="80" w:type="dxa"/>
              <w:start w:w="120" w:type="dxa"/>
              <w:bottom w:w="80" w:type="dxa"/>
              <w:end w:w="120" w:type="dxa"/>
            </w:tcMar>
          </w:tcPr>
          <w:p>
            <w:pPr>
              <w:spacing w:before="0" w:after="20" w:line="252" w:lineRule="auto"/>
              <w:jc w:val="left"/>
            </w:pPr>
            <w:r>
              <w:rPr>
                <w:color w:val="1D2733"/>
                <w:sz w:val="16"/>
              </w:rPr>
              <w:t>Hospitality and Events Solutions</w:t>
            </w:r>
          </w:p>
        </w:tc>
        <w:tc>
          <w:tcPr>
            <w:tcW w:type="dxa" w:w="5000"/>
            <w:vAlign w:val="center"/>
            <w:shd w:fill="FAFBFC"/>
            <w:tcMar>
              <w:top w:w="80" w:type="dxa"/>
              <w:start w:w="120" w:type="dxa"/>
              <w:bottom w:w="80" w:type="dxa"/>
              <w:end w:w="120" w:type="dxa"/>
            </w:tcMar>
          </w:tcPr>
          <w:p>
            <w:pPr>
              <w:spacing w:before="0" w:after="20" w:line="252" w:lineRule="auto"/>
              <w:jc w:val="left"/>
            </w:pPr>
            <w:r>
              <w:rPr>
                <w:color w:val="1D2733"/>
                <w:sz w:val="16"/>
              </w:rPr>
              <w:t>Hospitality technology, property operations, events and service design</w:t>
            </w:r>
          </w:p>
        </w:tc>
        <w:tc>
          <w:tcPr>
            <w:tcW w:type="dxa" w:w="2010"/>
            <w:vAlign w:val="center"/>
            <w:shd w:fill="FAFBFC"/>
            <w:tcMar>
              <w:top w:w="80" w:type="dxa"/>
              <w:start w:w="120" w:type="dxa"/>
              <w:bottom w:w="80" w:type="dxa"/>
              <w:end w:w="120" w:type="dxa"/>
            </w:tcMar>
          </w:tcPr>
          <w:p>
            <w:pPr>
              <w:spacing w:before="0" w:after="20" w:line="252" w:lineRule="auto"/>
              <w:jc w:val="left"/>
            </w:pPr>
            <w:r>
              <w:rPr>
                <w:color w:val="1D2733"/>
                <w:sz w:val="16"/>
              </w:rPr>
              <w:t>Business-unit lead</w:t>
            </w:r>
          </w:p>
        </w:tc>
      </w:tr>
      <w:tr>
        <w:trPr>
          <w:cantSplit/>
        </w:trPr>
        <w:tc>
          <w:tcPr>
            <w:tcW w:type="dxa" w:w="2350"/>
            <w:vAlign w:val="center"/>
            <w:tcMar>
              <w:top w:w="80" w:type="dxa"/>
              <w:start w:w="120" w:type="dxa"/>
              <w:bottom w:w="80" w:type="dxa"/>
              <w:end w:w="120" w:type="dxa"/>
            </w:tcMar>
          </w:tcPr>
          <w:p>
            <w:pPr>
              <w:spacing w:before="0" w:after="20" w:line="252" w:lineRule="auto"/>
              <w:jc w:val="left"/>
            </w:pPr>
            <w:r>
              <w:rPr>
                <w:color w:val="1D2733"/>
                <w:sz w:val="16"/>
              </w:rPr>
              <w:t>Finance, Procurement and Administration</w:t>
            </w:r>
          </w:p>
        </w:tc>
        <w:tc>
          <w:tcPr>
            <w:tcW w:type="dxa" w:w="5000"/>
            <w:vAlign w:val="center"/>
            <w:tcMar>
              <w:top w:w="80" w:type="dxa"/>
              <w:start w:w="120" w:type="dxa"/>
              <w:bottom w:w="80" w:type="dxa"/>
              <w:end w:w="120" w:type="dxa"/>
            </w:tcMar>
          </w:tcPr>
          <w:p>
            <w:pPr>
              <w:spacing w:before="0" w:after="20" w:line="252" w:lineRule="auto"/>
              <w:jc w:val="left"/>
            </w:pPr>
            <w:r>
              <w:rPr>
                <w:color w:val="1D2733"/>
                <w:sz w:val="16"/>
              </w:rPr>
              <w:t>Accounting, treasury, budgeting, tax coordination, procurement, assets and controls</w:t>
            </w:r>
          </w:p>
        </w:tc>
        <w:tc>
          <w:tcPr>
            <w:tcW w:type="dxa" w:w="2010"/>
            <w:vAlign w:val="center"/>
            <w:tcMar>
              <w:top w:w="80" w:type="dxa"/>
              <w:start w:w="120" w:type="dxa"/>
              <w:bottom w:w="80" w:type="dxa"/>
              <w:end w:w="120" w:type="dxa"/>
            </w:tcMar>
          </w:tcPr>
          <w:p>
            <w:pPr>
              <w:spacing w:before="0" w:after="20" w:line="252" w:lineRule="auto"/>
              <w:jc w:val="left"/>
            </w:pPr>
            <w:r>
              <w:rPr>
                <w:color w:val="1D2733"/>
                <w:sz w:val="16"/>
              </w:rPr>
              <w:t>CFO/Finance lead</w:t>
            </w:r>
          </w:p>
        </w:tc>
      </w:tr>
      <w:tr>
        <w:trPr>
          <w:cantSplit/>
        </w:trPr>
        <w:tc>
          <w:tcPr>
            <w:tcW w:type="dxa" w:w="2350"/>
            <w:vAlign w:val="center"/>
            <w:shd w:fill="FAFBFC"/>
            <w:tcMar>
              <w:top w:w="80" w:type="dxa"/>
              <w:start w:w="120" w:type="dxa"/>
              <w:bottom w:w="80" w:type="dxa"/>
              <w:end w:w="120" w:type="dxa"/>
            </w:tcMar>
          </w:tcPr>
          <w:p>
            <w:pPr>
              <w:spacing w:before="0" w:after="20" w:line="252" w:lineRule="auto"/>
              <w:jc w:val="left"/>
            </w:pPr>
            <w:r>
              <w:rPr>
                <w:color w:val="1D2733"/>
                <w:sz w:val="16"/>
              </w:rPr>
              <w:t>People and Culture</w:t>
            </w:r>
          </w:p>
        </w:tc>
        <w:tc>
          <w:tcPr>
            <w:tcW w:type="dxa" w:w="5000"/>
            <w:vAlign w:val="center"/>
            <w:shd w:fill="FAFBFC"/>
            <w:tcMar>
              <w:top w:w="80" w:type="dxa"/>
              <w:start w:w="120" w:type="dxa"/>
              <w:bottom w:w="80" w:type="dxa"/>
              <w:end w:w="120" w:type="dxa"/>
            </w:tcMar>
          </w:tcPr>
          <w:p>
            <w:pPr>
              <w:spacing w:before="0" w:after="20" w:line="252" w:lineRule="auto"/>
              <w:jc w:val="left"/>
            </w:pPr>
            <w:r>
              <w:rPr>
                <w:color w:val="1D2733"/>
                <w:sz w:val="16"/>
              </w:rPr>
              <w:t>Workforce plan, recruitment, performance, learning, wellbeing and conduct</w:t>
            </w:r>
          </w:p>
        </w:tc>
        <w:tc>
          <w:tcPr>
            <w:tcW w:type="dxa" w:w="2010"/>
            <w:vAlign w:val="center"/>
            <w:shd w:fill="FAFBFC"/>
            <w:tcMar>
              <w:top w:w="80" w:type="dxa"/>
              <w:start w:w="120" w:type="dxa"/>
              <w:bottom w:w="80" w:type="dxa"/>
              <w:end w:w="120" w:type="dxa"/>
            </w:tcMar>
          </w:tcPr>
          <w:p>
            <w:pPr>
              <w:spacing w:before="0" w:after="20" w:line="252" w:lineRule="auto"/>
              <w:jc w:val="center"/>
            </w:pPr>
            <w:r>
              <w:rPr>
                <w:color w:val="1D2733"/>
                <w:sz w:val="16"/>
              </w:rPr>
              <w:t>People lead</w:t>
            </w:r>
          </w:p>
        </w:tc>
      </w:tr>
    </w:tbl>
    <w:p>
      <w:pPr>
        <w:pStyle w:val="Heading2"/>
      </w:pPr>
      <w:r>
        <w:t>Lean staffing sequence</w:t>
      </w:r>
    </w:p>
    <w:p>
      <w:pPr>
        <w:pStyle w:val="Caption"/>
      </w:pPr>
      <w:r>
        <w:t>Table 10. Capability growth by stage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500"/>
        <w:gridCol w:w="4650"/>
        <w:gridCol w:w="3210"/>
      </w:tblGrid>
      <w:tr>
        <w:trPr>
          <w:tblHeader w:val="true"/>
          <w:cantSplit/>
        </w:trPr>
        <w:tc>
          <w:tcPr>
            <w:tcW w:type="dxa" w:w="1500"/>
            <w:vAlign w:val="center"/>
            <w:shd w:fill="F2F4F7"/>
            <w:tcMar>
              <w:top w:w="80" w:type="dxa"/>
              <w:start w:w="120" w:type="dxa"/>
              <w:bottom w:w="80" w:type="dxa"/>
              <w:end w:w="120" w:type="dxa"/>
            </w:tcMar>
          </w:tcPr>
          <w:p>
            <w:pPr>
              <w:spacing w:before="0" w:after="0"/>
              <w:jc w:val="center"/>
            </w:pPr>
            <w:r>
              <w:rPr>
                <w:b/>
                <w:color w:val="102A43"/>
                <w:sz w:val="18"/>
              </w:rPr>
              <w:t>Stage</w:t>
            </w:r>
          </w:p>
        </w:tc>
        <w:tc>
          <w:tcPr>
            <w:tcW w:type="dxa" w:w="4650"/>
            <w:vAlign w:val="center"/>
            <w:shd w:fill="F2F4F7"/>
            <w:tcMar>
              <w:top w:w="80" w:type="dxa"/>
              <w:start w:w="120" w:type="dxa"/>
              <w:bottom w:w="80" w:type="dxa"/>
              <w:end w:w="120" w:type="dxa"/>
            </w:tcMar>
          </w:tcPr>
          <w:p>
            <w:pPr>
              <w:spacing w:before="0" w:after="0"/>
              <w:jc w:val="left"/>
            </w:pPr>
            <w:r>
              <w:rPr>
                <w:b/>
                <w:color w:val="102A43"/>
                <w:sz w:val="18"/>
              </w:rPr>
              <w:t>Core internal roles</w:t>
            </w:r>
          </w:p>
        </w:tc>
        <w:tc>
          <w:tcPr>
            <w:tcW w:type="dxa" w:w="3210"/>
            <w:vAlign w:val="center"/>
            <w:shd w:fill="F2F4F7"/>
            <w:tcMar>
              <w:top w:w="80" w:type="dxa"/>
              <w:start w:w="120" w:type="dxa"/>
              <w:bottom w:w="80" w:type="dxa"/>
              <w:end w:w="120" w:type="dxa"/>
            </w:tcMar>
          </w:tcPr>
          <w:p>
            <w:pPr>
              <w:spacing w:before="0" w:after="0"/>
              <w:jc w:val="left"/>
            </w:pPr>
            <w:r>
              <w:rPr>
                <w:b/>
                <w:color w:val="102A43"/>
                <w:sz w:val="18"/>
              </w:rPr>
              <w:t>Use specialists/partners for</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7"/>
              </w:rPr>
              <w:t>Foundation</w:t>
            </w:r>
          </w:p>
        </w:tc>
        <w:tc>
          <w:tcPr>
            <w:tcW w:type="dxa" w:w="4650"/>
            <w:vAlign w:val="center"/>
            <w:tcMar>
              <w:top w:w="80" w:type="dxa"/>
              <w:start w:w="120" w:type="dxa"/>
              <w:bottom w:w="80" w:type="dxa"/>
              <w:end w:w="120" w:type="dxa"/>
            </w:tcMar>
          </w:tcPr>
          <w:p>
            <w:pPr>
              <w:spacing w:before="0" w:after="20" w:line="252" w:lineRule="auto"/>
              <w:jc w:val="left"/>
            </w:pPr>
            <w:r>
              <w:rPr>
                <w:color w:val="1D2733"/>
                <w:sz w:val="17"/>
              </w:rPr>
              <w:t>CEO, product/portfolio owner, senior full-stack engineer, commercial lead, finance/admin, client-support coordinator</w:t>
            </w:r>
          </w:p>
        </w:tc>
        <w:tc>
          <w:tcPr>
            <w:tcW w:type="dxa" w:w="3210"/>
            <w:vAlign w:val="center"/>
            <w:tcMar>
              <w:top w:w="80" w:type="dxa"/>
              <w:start w:w="120" w:type="dxa"/>
              <w:bottom w:w="80" w:type="dxa"/>
              <w:end w:w="120" w:type="dxa"/>
            </w:tcMar>
          </w:tcPr>
          <w:p>
            <w:pPr>
              <w:spacing w:before="0" w:after="20" w:line="252" w:lineRule="auto"/>
              <w:jc w:val="left"/>
            </w:pPr>
            <w:r>
              <w:rPr>
                <w:color w:val="1D2733"/>
                <w:sz w:val="17"/>
              </w:rPr>
              <w:t>Company secretarial, legal, tax, security testing, brand production and specialist infrastructure</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7"/>
              </w:rPr>
              <w:t>Pilot</w:t>
            </w:r>
          </w:p>
        </w:tc>
        <w:tc>
          <w:tcPr>
            <w:tcW w:type="dxa" w:w="4650"/>
            <w:vAlign w:val="center"/>
            <w:shd w:fill="FAFBFC"/>
            <w:tcMar>
              <w:top w:w="80" w:type="dxa"/>
              <w:start w:w="120" w:type="dxa"/>
              <w:bottom w:w="80" w:type="dxa"/>
              <w:end w:w="120" w:type="dxa"/>
            </w:tcMar>
          </w:tcPr>
          <w:p>
            <w:pPr>
              <w:spacing w:before="0" w:after="20" w:line="252" w:lineRule="auto"/>
              <w:jc w:val="left"/>
            </w:pPr>
            <w:r>
              <w:rPr>
                <w:color w:val="1D2733"/>
                <w:sz w:val="17"/>
              </w:rPr>
              <w:t>Add UX/product design, QA, implementation, data/AI engineering, Academy operations and field solutions</w:t>
            </w:r>
          </w:p>
        </w:tc>
        <w:tc>
          <w:tcPr>
            <w:tcW w:type="dxa" w:w="3210"/>
            <w:vAlign w:val="center"/>
            <w:shd w:fill="FAFBFC"/>
            <w:tcMar>
              <w:top w:w="80" w:type="dxa"/>
              <w:start w:w="120" w:type="dxa"/>
              <w:bottom w:w="80" w:type="dxa"/>
              <w:end w:w="120" w:type="dxa"/>
            </w:tcMar>
          </w:tcPr>
          <w:p>
            <w:pPr>
              <w:spacing w:before="0" w:after="20" w:line="252" w:lineRule="auto"/>
              <w:jc w:val="left"/>
            </w:pPr>
            <w:r>
              <w:rPr>
                <w:color w:val="1D2733"/>
                <w:sz w:val="17"/>
              </w:rPr>
              <w:t>Penetration testing, cloud architecture, curriculum accreditation and regulated-sector advice</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7"/>
              </w:rPr>
              <w:t>Scale</w:t>
            </w:r>
          </w:p>
        </w:tc>
        <w:tc>
          <w:tcPr>
            <w:tcW w:type="dxa" w:w="4650"/>
            <w:vAlign w:val="center"/>
            <w:tcMar>
              <w:top w:w="80" w:type="dxa"/>
              <w:start w:w="120" w:type="dxa"/>
              <w:bottom w:w="80" w:type="dxa"/>
              <w:end w:w="120" w:type="dxa"/>
            </w:tcMar>
          </w:tcPr>
          <w:p>
            <w:pPr>
              <w:spacing w:before="0" w:after="20" w:line="252" w:lineRule="auto"/>
              <w:jc w:val="left"/>
            </w:pPr>
            <w:r>
              <w:rPr>
                <w:color w:val="1D2733"/>
                <w:sz w:val="17"/>
              </w:rPr>
              <w:t>Dedicated security/privacy, platform/SRE, customer success, regional sales, HR and financial control</w:t>
            </w:r>
          </w:p>
        </w:tc>
        <w:tc>
          <w:tcPr>
            <w:tcW w:type="dxa" w:w="3210"/>
            <w:vAlign w:val="center"/>
            <w:tcMar>
              <w:top w:w="80" w:type="dxa"/>
              <w:start w:w="120" w:type="dxa"/>
              <w:bottom w:w="80" w:type="dxa"/>
              <w:end w:w="120" w:type="dxa"/>
            </w:tcMar>
          </w:tcPr>
          <w:p>
            <w:pPr>
              <w:spacing w:before="0" w:after="20" w:line="252" w:lineRule="auto"/>
              <w:jc w:val="left"/>
            </w:pPr>
            <w:r>
              <w:rPr>
                <w:color w:val="1D2733"/>
                <w:sz w:val="17"/>
              </w:rPr>
              <w:t>Independent assurance, international legal/tax and specialised hardware/vendor ecosystems</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7"/>
              </w:rPr>
              <w:t>Enterprise</w:t>
            </w:r>
          </w:p>
        </w:tc>
        <w:tc>
          <w:tcPr>
            <w:tcW w:type="dxa" w:w="4650"/>
            <w:vAlign w:val="center"/>
            <w:shd w:fill="FAFBFC"/>
            <w:tcMar>
              <w:top w:w="80" w:type="dxa"/>
              <w:start w:w="120" w:type="dxa"/>
              <w:bottom w:w="80" w:type="dxa"/>
              <w:end w:w="120" w:type="dxa"/>
            </w:tcMar>
          </w:tcPr>
          <w:p>
            <w:pPr>
              <w:spacing w:before="0" w:after="20" w:line="252" w:lineRule="auto"/>
              <w:jc w:val="left"/>
            </w:pPr>
            <w:r>
              <w:rPr>
                <w:color w:val="1D2733"/>
                <w:sz w:val="17"/>
              </w:rPr>
              <w:t>Product-line leaders, platform teams, research, partner engineering and regional operations</w:t>
            </w:r>
          </w:p>
        </w:tc>
        <w:tc>
          <w:tcPr>
            <w:tcW w:type="dxa" w:w="3210"/>
            <w:vAlign w:val="center"/>
            <w:shd w:fill="FAFBFC"/>
            <w:tcMar>
              <w:top w:w="80" w:type="dxa"/>
              <w:start w:w="120" w:type="dxa"/>
              <w:bottom w:w="80" w:type="dxa"/>
              <w:end w:w="120" w:type="dxa"/>
            </w:tcMar>
          </w:tcPr>
          <w:p>
            <w:pPr>
              <w:spacing w:before="0" w:after="20" w:line="252" w:lineRule="auto"/>
              <w:jc w:val="left"/>
            </w:pPr>
            <w:r>
              <w:rPr>
                <w:color w:val="1D2733"/>
                <w:sz w:val="17"/>
              </w:rPr>
              <w:t>Market-entry advisers, accredited certification bodies and strategic delivery partners</w:t>
            </w:r>
          </w:p>
        </w:tc>
      </w:tr>
    </w:tbl>
    <w:p>
      <w:pPr>
        <w:pStyle w:val="Heading2"/>
      </w:pPr>
      <w:r>
        <w:t>Management cadence</w:t>
      </w:r>
    </w:p>
    <w:p>
      <w:pPr>
        <w:pStyle w:val="ListBullet"/>
        <w:keepLines/>
      </w:pPr>
      <w:r>
        <w:t>Weekly: delivery, service, cash/collections and critical risk review.</w:t>
      </w:r>
    </w:p>
    <w:p>
      <w:pPr>
        <w:pStyle w:val="ListBullet"/>
        <w:keepLines/>
      </w:pPr>
      <w:r>
        <w:t>Monthly: executive operating review covering financials, pipeline, products, clients, people, security and incidents.</w:t>
      </w:r>
    </w:p>
    <w:p>
      <w:pPr>
        <w:pStyle w:val="ListBullet"/>
        <w:keepLines/>
      </w:pPr>
      <w:r>
        <w:t>Quarterly: board and portfolio review; investment gates; risk appetite; commercial and technology roadmap.</w:t>
      </w:r>
    </w:p>
    <w:p>
      <w:pPr>
        <w:pStyle w:val="ListBullet"/>
        <w:keepLines/>
      </w:pPr>
      <w:r>
        <w:t>Annually: strategy, budget, workforce, control effectiveness, business-impact analysis and blueprint refresh.</w:t>
      </w:r>
    </w:p>
    <w:p>
      <w:pPr>
        <w:pStyle w:val="ListBullet"/>
        <w:keepLines/>
      </w:pPr>
      <w:r>
        <w:t>Event-driven: immediate review after a major incident, regulatory change, acquisition, new country, material contract or architecture exception.</w:t>
      </w:r>
    </w:p>
    <w:p>
      <w:bookmarkStart w:id="5" w:name="sec05"/>
      <w:pPr>
        <w:pStyle w:val="Heading1"/>
        <w:keepNext/>
        <w:pageBreakBefore/>
      </w:pPr>
      <w:r>
        <w:t>SECTION 05 | Brand and Domain Strategy</w:t>
      </w:r>
      <w:bookmarkEnd w:id="5"/>
    </w:p>
    <w:p>
      <w:pPr>
        <w:pStyle w:val="LeadCallout"/>
        <w:shd w:fill="F4F6F9"/>
        <w:pBdr>
          <w:left w:val="single" w:sz="18" w:space="8" w:color="C99A2E"/>
        </w:pBdr>
      </w:pPr>
      <w:r>
        <w:rPr>
          <w:b/>
          <w:color w:val="102A43"/>
        </w:rPr>
        <w:t xml:space="preserve">Brand rule: </w:t>
      </w:r>
      <w:r>
        <w:t>The supplied gold Rihuum emblem is the only corporate logo. Business units and products use endorsed wordmarks and descriptors beneath it; they do not create competing corporate identities.</w:t>
      </w:r>
    </w:p>
    <w:p>
      <w:pPr>
        <w:keepNext/>
        <w:jc w:val="center"/>
      </w:pPr>
      <w:r>
        <w:drawing>
          <wp:inline xmlns:a="http://schemas.openxmlformats.org/drawingml/2006/main" xmlns:pic="http://schemas.openxmlformats.org/drawingml/2006/picture">
            <wp:extent cx="5806440" cy="3193542"/>
            <wp:docPr id="2" name="Picture 2" descr="Diagram showing rihuum.com for corporate trust, rihuum.tech for products and innovation, and rihuum.net for client operations, all connected by shared services." title="Rihuum three-domain ecosystem"/>
            <wp:cNvGraphicFramePr>
              <a:graphicFrameLocks noChangeAspect="1"/>
            </wp:cNvGraphicFramePr>
            <a:graphic>
              <a:graphicData uri="http://schemas.openxmlformats.org/drawingml/2006/picture">
                <pic:pic>
                  <pic:nvPicPr>
                    <pic:cNvPr id="0" name="rihuum-domain-ecosystem.png"/>
                    <pic:cNvPicPr/>
                  </pic:nvPicPr>
                  <pic:blipFill>
                    <a:blip r:embed="rId15"/>
                    <a:stretch>
                      <a:fillRect/>
                    </a:stretch>
                  </pic:blipFill>
                  <pic:spPr>
                    <a:xfrm>
                      <a:off x="0" y="0"/>
                      <a:ext cx="5806440" cy="3193542"/>
                    </a:xfrm>
                    <a:prstGeom prst="rect"/>
                  </pic:spPr>
                </pic:pic>
              </a:graphicData>
            </a:graphic>
          </wp:inline>
        </w:drawing>
      </w:r>
    </w:p>
    <w:p>
      <w:pPr>
        <w:pStyle w:val="Caption"/>
        <w:jc w:val="center"/>
      </w:pPr>
      <w:r>
        <w:t>Figure 1. Rihuum three-domain ecosystem</w:t>
      </w:r>
    </w:p>
    <w:p>
      <w:pPr>
        <w:pStyle w:val="Heading2"/>
      </w:pPr>
      <w:r>
        <w:t>Domain assignments</w:t>
      </w:r>
    </w:p>
    <w:p>
      <w:pPr>
        <w:pStyle w:val="Caption"/>
      </w:pPr>
      <w:r>
        <w:t>Table 11. Purpose and governance of each owned domain</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400"/>
        <w:gridCol w:w="2100"/>
        <w:gridCol w:w="3900"/>
        <w:gridCol w:w="1960"/>
      </w:tblGrid>
      <w:tr>
        <w:trPr>
          <w:tblHeader w:val="true"/>
          <w:cantSplit/>
        </w:trPr>
        <w:tc>
          <w:tcPr>
            <w:tcW w:type="dxa" w:w="1400"/>
            <w:vAlign w:val="center"/>
            <w:shd w:fill="F2F4F7"/>
            <w:tcMar>
              <w:top w:w="80" w:type="dxa"/>
              <w:start w:w="120" w:type="dxa"/>
              <w:bottom w:w="80" w:type="dxa"/>
              <w:end w:w="120" w:type="dxa"/>
            </w:tcMar>
          </w:tcPr>
          <w:p>
            <w:pPr>
              <w:spacing w:before="0" w:after="0"/>
              <w:jc w:val="center"/>
            </w:pPr>
            <w:r>
              <w:rPr>
                <w:b/>
                <w:color w:val="102A43"/>
                <w:sz w:val="17"/>
              </w:rPr>
              <w:t>Domain</w:t>
            </w:r>
          </w:p>
        </w:tc>
        <w:tc>
          <w:tcPr>
            <w:tcW w:type="dxa" w:w="2100"/>
            <w:vAlign w:val="center"/>
            <w:shd w:fill="F2F4F7"/>
            <w:tcMar>
              <w:top w:w="80" w:type="dxa"/>
              <w:start w:w="120" w:type="dxa"/>
              <w:bottom w:w="80" w:type="dxa"/>
              <w:end w:w="120" w:type="dxa"/>
            </w:tcMar>
          </w:tcPr>
          <w:p>
            <w:pPr>
              <w:spacing w:before="0" w:after="0"/>
              <w:jc w:val="center"/>
            </w:pPr>
            <w:r>
              <w:rPr>
                <w:b/>
                <w:color w:val="102A43"/>
                <w:sz w:val="17"/>
              </w:rPr>
              <w:t>Primary purpose</w:t>
            </w:r>
          </w:p>
        </w:tc>
        <w:tc>
          <w:tcPr>
            <w:tcW w:type="dxa" w:w="3900"/>
            <w:vAlign w:val="center"/>
            <w:shd w:fill="F2F4F7"/>
            <w:tcMar>
              <w:top w:w="80" w:type="dxa"/>
              <w:start w:w="120" w:type="dxa"/>
              <w:bottom w:w="80" w:type="dxa"/>
              <w:end w:w="120" w:type="dxa"/>
            </w:tcMar>
          </w:tcPr>
          <w:p>
            <w:pPr>
              <w:spacing w:before="0" w:after="0"/>
              <w:jc w:val="left"/>
            </w:pPr>
            <w:r>
              <w:rPr>
                <w:b/>
                <w:color w:val="102A43"/>
                <w:sz w:val="17"/>
              </w:rPr>
              <w:t>Key content and services</w:t>
            </w:r>
          </w:p>
        </w:tc>
        <w:tc>
          <w:tcPr>
            <w:tcW w:type="dxa" w:w="1960"/>
            <w:vAlign w:val="center"/>
            <w:shd w:fill="F2F4F7"/>
            <w:tcMar>
              <w:top w:w="80" w:type="dxa"/>
              <w:start w:w="120" w:type="dxa"/>
              <w:bottom w:w="80" w:type="dxa"/>
              <w:end w:w="120" w:type="dxa"/>
            </w:tcMar>
          </w:tcPr>
          <w:p>
            <w:pPr>
              <w:spacing w:before="0" w:after="0"/>
              <w:jc w:val="center"/>
            </w:pPr>
            <w:r>
              <w:rPr>
                <w:b/>
                <w:color w:val="102A43"/>
                <w:sz w:val="17"/>
              </w:rPr>
              <w:t>Governance</w:t>
            </w:r>
          </w:p>
        </w:tc>
      </w:tr>
      <w:tr>
        <w:trPr>
          <w:cantSplit/>
        </w:trPr>
        <w:tc>
          <w:tcPr>
            <w:tcW w:type="dxa" w:w="1400"/>
            <w:vAlign w:val="center"/>
            <w:tcMar>
              <w:top w:w="80" w:type="dxa"/>
              <w:start w:w="120" w:type="dxa"/>
              <w:bottom w:w="80" w:type="dxa"/>
              <w:end w:w="120" w:type="dxa"/>
            </w:tcMar>
          </w:tcPr>
          <w:p>
            <w:pPr>
              <w:spacing w:before="0" w:after="20" w:line="252" w:lineRule="auto"/>
              <w:jc w:val="left"/>
            </w:pPr>
            <w:r>
              <w:rPr>
                <w:color w:val="1D2733"/>
                <w:sz w:val="16"/>
              </w:rPr>
              <w:t>rihuum.com</w:t>
            </w:r>
          </w:p>
        </w:tc>
        <w:tc>
          <w:tcPr>
            <w:tcW w:type="dxa" w:w="2100"/>
            <w:vAlign w:val="center"/>
            <w:tcMar>
              <w:top w:w="80" w:type="dxa"/>
              <w:start w:w="120" w:type="dxa"/>
              <w:bottom w:w="80" w:type="dxa"/>
              <w:end w:w="120" w:type="dxa"/>
            </w:tcMar>
          </w:tcPr>
          <w:p>
            <w:pPr>
              <w:spacing w:before="0" w:after="20" w:line="252" w:lineRule="auto"/>
              <w:jc w:val="left"/>
            </w:pPr>
            <w:r>
              <w:rPr>
                <w:color w:val="1D2733"/>
                <w:sz w:val="16"/>
              </w:rPr>
              <w:t>Corporate headquarters and trust</w:t>
            </w:r>
          </w:p>
        </w:tc>
        <w:tc>
          <w:tcPr>
            <w:tcW w:type="dxa" w:w="3900"/>
            <w:vAlign w:val="center"/>
            <w:tcMar>
              <w:top w:w="80" w:type="dxa"/>
              <w:start w:w="120" w:type="dxa"/>
              <w:bottom w:w="80" w:type="dxa"/>
              <w:end w:w="120" w:type="dxa"/>
            </w:tcMar>
          </w:tcPr>
          <w:p>
            <w:pPr>
              <w:spacing w:before="0" w:after="20" w:line="252" w:lineRule="auto"/>
              <w:jc w:val="left"/>
            </w:pPr>
            <w:r>
              <w:rPr>
                <w:color w:val="1D2733"/>
                <w:sz w:val="16"/>
              </w:rPr>
              <w:t>Company, governance, industries, services, partnerships, investors, careers, newsroom and corporate blog</w:t>
            </w:r>
          </w:p>
        </w:tc>
        <w:tc>
          <w:tcPr>
            <w:tcW w:type="dxa" w:w="1960"/>
            <w:vAlign w:val="center"/>
            <w:tcMar>
              <w:top w:w="80" w:type="dxa"/>
              <w:start w:w="120" w:type="dxa"/>
              <w:bottom w:w="80" w:type="dxa"/>
              <w:end w:w="120" w:type="dxa"/>
            </w:tcMar>
          </w:tcPr>
          <w:p>
            <w:pPr>
              <w:spacing w:before="0" w:after="20" w:line="252" w:lineRule="auto"/>
              <w:jc w:val="left"/>
            </w:pPr>
            <w:r>
              <w:rPr>
                <w:color w:val="1D2733"/>
                <w:sz w:val="16"/>
              </w:rPr>
              <w:t>Corporate Communications + Legal; canonical corporate identity</w:t>
            </w:r>
          </w:p>
        </w:tc>
      </w:tr>
      <w:tr>
        <w:trPr>
          <w:cantSplit/>
        </w:trPr>
        <w:tc>
          <w:tcPr>
            <w:tcW w:type="dxa" w:w="1400"/>
            <w:vAlign w:val="center"/>
            <w:shd w:fill="FAFBFC"/>
            <w:tcMar>
              <w:top w:w="80" w:type="dxa"/>
              <w:start w:w="120" w:type="dxa"/>
              <w:bottom w:w="80" w:type="dxa"/>
              <w:end w:w="120" w:type="dxa"/>
            </w:tcMar>
          </w:tcPr>
          <w:p>
            <w:pPr>
              <w:spacing w:before="0" w:after="20" w:line="252" w:lineRule="auto"/>
              <w:jc w:val="left"/>
            </w:pPr>
            <w:r>
              <w:rPr>
                <w:color w:val="1D2733"/>
                <w:sz w:val="16"/>
              </w:rPr>
              <w:t>rihuum.tech</w:t>
            </w:r>
          </w:p>
        </w:tc>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Products, innovation and learning</w:t>
            </w:r>
          </w:p>
        </w:tc>
        <w:tc>
          <w:tcPr>
            <w:tcW w:type="dxa" w:w="3900"/>
            <w:vAlign w:val="center"/>
            <w:shd w:fill="FAFBFC"/>
            <w:tcMar>
              <w:top w:w="80" w:type="dxa"/>
              <w:start w:w="120" w:type="dxa"/>
              <w:bottom w:w="80" w:type="dxa"/>
              <w:end w:w="120" w:type="dxa"/>
            </w:tcMar>
          </w:tcPr>
          <w:p>
            <w:pPr>
              <w:spacing w:before="0" w:after="20" w:line="252" w:lineRule="auto"/>
              <w:jc w:val="left"/>
            </w:pPr>
            <w:r>
              <w:rPr>
                <w:color w:val="1D2733"/>
                <w:sz w:val="16"/>
              </w:rPr>
              <w:t>Rihuum Master Enterprises, Rihuum OS, Rihuum AI, software, product documentation, developer resources, Academy, labs and technology blog</w:t>
            </w:r>
          </w:p>
        </w:tc>
        <w:tc>
          <w:tcPr>
            <w:tcW w:type="dxa" w:w="1960"/>
            <w:vAlign w:val="center"/>
            <w:shd w:fill="FAFBFC"/>
            <w:tcMar>
              <w:top w:w="80" w:type="dxa"/>
              <w:start w:w="120" w:type="dxa"/>
              <w:bottom w:w="80" w:type="dxa"/>
              <w:end w:w="120" w:type="dxa"/>
            </w:tcMar>
          </w:tcPr>
          <w:p>
            <w:pPr>
              <w:spacing w:before="0" w:after="20" w:line="252" w:lineRule="auto"/>
              <w:jc w:val="left"/>
            </w:pPr>
            <w:r>
              <w:rPr>
                <w:color w:val="1D2733"/>
                <w:sz w:val="16"/>
              </w:rPr>
              <w:t>Product + Technology + Academy; primary lead generation for digital products</w:t>
            </w:r>
          </w:p>
        </w:tc>
      </w:tr>
      <w:tr>
        <w:trPr>
          <w:cantSplit/>
        </w:trPr>
        <w:tc>
          <w:tcPr>
            <w:tcW w:type="dxa" w:w="1400"/>
            <w:vAlign w:val="center"/>
            <w:tcMar>
              <w:top w:w="80" w:type="dxa"/>
              <w:start w:w="120" w:type="dxa"/>
              <w:bottom w:w="80" w:type="dxa"/>
              <w:end w:w="120" w:type="dxa"/>
            </w:tcMar>
          </w:tcPr>
          <w:p>
            <w:pPr>
              <w:spacing w:before="0" w:after="20" w:line="252" w:lineRule="auto"/>
              <w:jc w:val="left"/>
            </w:pPr>
            <w:r>
              <w:rPr>
                <w:color w:val="1D2733"/>
                <w:sz w:val="16"/>
              </w:rPr>
              <w:t>rihuum.net</w:t>
            </w:r>
          </w:p>
        </w:tc>
        <w:tc>
          <w:tcPr>
            <w:tcW w:type="dxa" w:w="2100"/>
            <w:vAlign w:val="center"/>
            <w:tcMar>
              <w:top w:w="80" w:type="dxa"/>
              <w:start w:w="120" w:type="dxa"/>
              <w:bottom w:w="80" w:type="dxa"/>
              <w:end w:w="120" w:type="dxa"/>
            </w:tcMar>
          </w:tcPr>
          <w:p>
            <w:pPr>
              <w:spacing w:before="0" w:after="20" w:line="252" w:lineRule="auto"/>
              <w:jc w:val="left"/>
            </w:pPr>
            <w:r>
              <w:rPr>
                <w:color w:val="1D2733"/>
                <w:sz w:val="16"/>
              </w:rPr>
              <w:t>Client operations and service delivery</w:t>
            </w:r>
          </w:p>
        </w:tc>
        <w:tc>
          <w:tcPr>
            <w:tcW w:type="dxa" w:w="3900"/>
            <w:vAlign w:val="center"/>
            <w:tcMar>
              <w:top w:w="80" w:type="dxa"/>
              <w:start w:w="120" w:type="dxa"/>
              <w:bottom w:w="80" w:type="dxa"/>
              <w:end w:w="120" w:type="dxa"/>
            </w:tcMar>
          </w:tcPr>
          <w:p>
            <w:pPr>
              <w:spacing w:before="0" w:after="20" w:line="252" w:lineRule="auto"/>
              <w:jc w:val="left"/>
            </w:pPr>
            <w:r>
              <w:rPr>
                <w:color w:val="1D2733"/>
                <w:sz w:val="16"/>
              </w:rPr>
              <w:t>Client portal, support, knowledge base, deployment access, service status, infrastructure and operational notices</w:t>
            </w:r>
          </w:p>
        </w:tc>
        <w:tc>
          <w:tcPr>
            <w:tcW w:type="dxa" w:w="1960"/>
            <w:vAlign w:val="center"/>
            <w:tcMar>
              <w:top w:w="80" w:type="dxa"/>
              <w:start w:w="120" w:type="dxa"/>
              <w:bottom w:w="80" w:type="dxa"/>
              <w:end w:w="120" w:type="dxa"/>
            </w:tcMar>
          </w:tcPr>
          <w:p>
            <w:pPr>
              <w:spacing w:before="0" w:after="20" w:line="252" w:lineRule="auto"/>
              <w:jc w:val="left"/>
            </w:pPr>
            <w:r>
              <w:rPr>
                <w:color w:val="1D2733"/>
                <w:sz w:val="16"/>
              </w:rPr>
              <w:t>Service Operations + Security; authenticated and high-trust workflows</w:t>
            </w:r>
          </w:p>
        </w:tc>
      </w:tr>
    </w:tbl>
    <w:p>
      <w:pPr>
        <w:pStyle w:val="Heading2"/>
      </w:pPr>
      <w:r>
        <w:t>Recommended service addresses</w:t>
      </w:r>
    </w:p>
    <w:p>
      <w:pPr>
        <w:pStyle w:val="ListBullet"/>
        <w:keepLines/>
      </w:pPr>
      <w:r>
        <w:rPr>
          <w:b/>
        </w:rPr>
        <w:t xml:space="preserve">www.rihuum.com: </w:t>
      </w:r>
      <w:r>
        <w:t>Primary corporate site; root domain redirects consistently to www or the chosen canonical host.</w:t>
      </w:r>
    </w:p>
    <w:p>
      <w:pPr>
        <w:pStyle w:val="ListBullet"/>
        <w:keepLines/>
      </w:pPr>
      <w:r>
        <w:rPr>
          <w:b/>
        </w:rPr>
        <w:t xml:space="preserve">app.rihuum.tech: </w:t>
      </w:r>
      <w:r>
        <w:t>RME-powered Rihuum OS and product sign-in; use a separate application origin from marketing content.</w:t>
      </w:r>
    </w:p>
    <w:p>
      <w:pPr>
        <w:pStyle w:val="ListBullet"/>
        <w:keepLines/>
      </w:pPr>
      <w:r>
        <w:rPr>
          <w:b/>
        </w:rPr>
        <w:t xml:space="preserve">academy.rihuum.tech: </w:t>
      </w:r>
      <w:r>
        <w:t>Rihuum Technology and Digital Hub programmes, LMS and learner services.</w:t>
      </w:r>
    </w:p>
    <w:p>
      <w:pPr>
        <w:pStyle w:val="ListBullet"/>
        <w:keepLines/>
      </w:pPr>
      <w:r>
        <w:rPr>
          <w:b/>
        </w:rPr>
        <w:t xml:space="preserve">docs.rihuum.tech: </w:t>
      </w:r>
      <w:r>
        <w:t>Versioned product, API, security and developer documentation.</w:t>
      </w:r>
    </w:p>
    <w:p>
      <w:pPr>
        <w:pStyle w:val="ListBullet"/>
        <w:keepLines/>
      </w:pPr>
      <w:r>
        <w:rPr>
          <w:b/>
        </w:rPr>
        <w:t xml:space="preserve">portal.rihuum.net: </w:t>
      </w:r>
      <w:r>
        <w:t>Client projects, assets, subscriptions, tickets, reports and authorised operations.</w:t>
      </w:r>
    </w:p>
    <w:p>
      <w:pPr>
        <w:pStyle w:val="ListBullet"/>
        <w:keepLines/>
      </w:pPr>
      <w:r>
        <w:rPr>
          <w:b/>
        </w:rPr>
        <w:t xml:space="preserve">status.rihuum.net: </w:t>
      </w:r>
      <w:r>
        <w:t>Public service status hosted independently from the primary production stack when feasible.</w:t>
      </w:r>
    </w:p>
    <w:p>
      <w:pPr>
        <w:pStyle w:val="ListBullet"/>
        <w:keepLines/>
      </w:pPr>
      <w:r>
        <w:rPr>
          <w:b/>
        </w:rPr>
        <w:t xml:space="preserve">support.rihuum.net: </w:t>
      </w:r>
      <w:r>
        <w:t>Knowledge base and ticket entry with safe public/private separation.</w:t>
      </w:r>
    </w:p>
    <w:p>
      <w:pPr>
        <w:pStyle w:val="Heading2"/>
      </w:pPr>
      <w:r>
        <w:t>Unified design and content system</w:t>
      </w:r>
    </w:p>
    <w:p>
      <w:pPr>
        <w:pStyle w:val="ListBullet"/>
        <w:keepLines/>
      </w:pPr>
      <w:r>
        <w:t>Create a versioned design system with official logo assets, colour tokens, typography, spacing, components, accessibility rules and usage examples.</w:t>
      </w:r>
    </w:p>
    <w:p>
      <w:pPr>
        <w:pStyle w:val="ListBullet"/>
        <w:keepLines/>
      </w:pPr>
      <w:r>
        <w:t>Display the legal company name and RC number on corporate and product sites, legal pages, invoices, proposals, contracts and official communications as applicable.</w:t>
      </w:r>
    </w:p>
    <w:p>
      <w:pPr>
        <w:pStyle w:val="ListBullet"/>
        <w:keepLines/>
      </w:pPr>
      <w:r>
        <w:t>Use one content-management workflow with role-based drafting, legal/technical review, scheduled publishing, revision history, ownership and review dates.</w:t>
      </w:r>
    </w:p>
    <w:p>
      <w:pPr>
        <w:pStyle w:val="ListBullet"/>
        <w:keepLines/>
      </w:pPr>
      <w:r>
        <w:t>Use canonical URLs, XML sitemaps, robots controls, structured metadata and redirect maps; avoid duplicating the same article across domains.</w:t>
      </w:r>
    </w:p>
    <w:p>
      <w:pPr>
        <w:pStyle w:val="ListBullet"/>
        <w:keepLines/>
      </w:pPr>
      <w:r>
        <w:t>Maintain distinct privacy notices, cookie/consent controls and terms for public sites, the Academy, client portals and each product where processing differs.</w:t>
      </w:r>
    </w:p>
    <w:p>
      <w:pPr>
        <w:pStyle w:val="ListBullet"/>
        <w:keepLines/>
      </w:pPr>
      <w:r>
        <w:t>Use one CRM identity and campaign taxonomy so a prospect can move across the ecosystem without fragmented records or excessive tracking.</w:t>
      </w:r>
    </w:p>
    <w:p>
      <w:pPr>
        <w:pStyle w:val="Heading2"/>
      </w:pPr>
      <w:r>
        <w:t>Brand architecture</w:t>
      </w:r>
    </w:p>
    <w:p>
      <w:r>
        <w:t>Use an endorsed architecture: 'Rihuum' is the master brand; 'Rihuum Master Enterprises', 'Rihuum OS', 'Rihuum AI', and 'Rihuum Technology and Digital Hub' are endorsed platform, product or business-unit names. Sector modules use descriptive names, for example 'Rihuum OS Hospitality' or 'Rihuum OS Fleet', until evidence justifies a standalone brand. All external names require legal, domain, trademark and customer-confusion checks before launch.</w:t>
      </w:r>
    </w:p>
    <w:p>
      <w:bookmarkStart w:id="6" w:name="sec06"/>
      <w:pPr>
        <w:pStyle w:val="Heading1"/>
        <w:keepNext/>
        <w:pageBreakBefore/>
      </w:pPr>
      <w:r>
        <w:t>SECTION 06 | Products, Services, and Business Units</w:t>
      </w:r>
      <w:bookmarkEnd w:id="6"/>
    </w:p>
    <w:p>
      <w:pPr>
        <w:pStyle w:val="LeadCallout"/>
        <w:shd w:fill="F4F6F9"/>
        <w:pBdr>
          <w:left w:val="single" w:sz="18" w:space="8" w:color="C99A2E"/>
        </w:pBdr>
      </w:pPr>
      <w:r>
        <w:rPr>
          <w:b/>
          <w:color w:val="102A43"/>
        </w:rPr>
        <w:t xml:space="preserve">Portfolio principle: </w:t>
      </w:r>
      <w:r>
        <w:t>Products create repeatability; services create adoption; managed operations create durable outcomes; training creates capability. Each offer must have a clear owner, customer, margin model, support model and lifecycle status.</w:t>
      </w:r>
    </w:p>
    <w:p>
      <w:pPr>
        <w:pStyle w:val="Caption"/>
      </w:pPr>
      <w:r>
        <w:t>Table 12. Rihuum portfolio and commercial role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250"/>
        <w:gridCol w:w="4750"/>
        <w:gridCol w:w="2360"/>
      </w:tblGrid>
      <w:tr>
        <w:trPr>
          <w:tblHeader w:val="true"/>
          <w:cantSplit/>
        </w:trPr>
        <w:tc>
          <w:tcPr>
            <w:tcW w:type="dxa" w:w="2250"/>
            <w:vAlign w:val="center"/>
            <w:shd w:fill="F2F4F7"/>
            <w:tcMar>
              <w:top w:w="80" w:type="dxa"/>
              <w:start w:w="120" w:type="dxa"/>
              <w:bottom w:w="80" w:type="dxa"/>
              <w:end w:w="120" w:type="dxa"/>
            </w:tcMar>
          </w:tcPr>
          <w:p>
            <w:pPr>
              <w:spacing w:before="0" w:after="0"/>
              <w:jc w:val="center"/>
            </w:pPr>
            <w:r>
              <w:rPr>
                <w:b/>
                <w:color w:val="102A43"/>
                <w:sz w:val="17"/>
              </w:rPr>
              <w:t>Portfolio area</w:t>
            </w:r>
          </w:p>
        </w:tc>
        <w:tc>
          <w:tcPr>
            <w:tcW w:type="dxa" w:w="4750"/>
            <w:vAlign w:val="center"/>
            <w:shd w:fill="F2F4F7"/>
            <w:tcMar>
              <w:top w:w="80" w:type="dxa"/>
              <w:start w:w="120" w:type="dxa"/>
              <w:bottom w:w="80" w:type="dxa"/>
              <w:end w:w="120" w:type="dxa"/>
            </w:tcMar>
          </w:tcPr>
          <w:p>
            <w:pPr>
              <w:spacing w:before="0" w:after="0"/>
              <w:jc w:val="center"/>
            </w:pPr>
            <w:r>
              <w:rPr>
                <w:b/>
                <w:color w:val="102A43"/>
                <w:sz w:val="17"/>
              </w:rPr>
              <w:t>Core offers</w:t>
            </w:r>
          </w:p>
        </w:tc>
        <w:tc>
          <w:tcPr>
            <w:tcW w:type="dxa" w:w="2360"/>
            <w:vAlign w:val="center"/>
            <w:shd w:fill="F2F4F7"/>
            <w:tcMar>
              <w:top w:w="80" w:type="dxa"/>
              <w:start w:w="120" w:type="dxa"/>
              <w:bottom w:w="80" w:type="dxa"/>
              <w:end w:w="120" w:type="dxa"/>
            </w:tcMar>
          </w:tcPr>
          <w:p>
            <w:pPr>
              <w:spacing w:before="0" w:after="0"/>
              <w:jc w:val="center"/>
            </w:pPr>
            <w:r>
              <w:rPr>
                <w:b/>
                <w:color w:val="102A43"/>
                <w:sz w:val="17"/>
              </w:rPr>
              <w:t>Primary revenue</w:t>
            </w:r>
          </w:p>
        </w:tc>
      </w:tr>
      <w:tr>
        <w:trPr>
          <w:cantSplit/>
        </w:trPr>
        <w:tc>
          <w:tcPr>
            <w:tcW w:type="dxa" w:w="2250"/>
            <w:vAlign w:val="center"/>
            <w:tcMar>
              <w:top w:w="80" w:type="dxa"/>
              <w:start w:w="120" w:type="dxa"/>
              <w:bottom w:w="80" w:type="dxa"/>
              <w:end w:w="120" w:type="dxa"/>
            </w:tcMar>
          </w:tcPr>
          <w:p>
            <w:pPr>
              <w:spacing w:before="0" w:after="20" w:line="252" w:lineRule="auto"/>
              <w:jc w:val="left"/>
            </w:pPr>
            <w:r>
              <w:rPr>
                <w:color w:val="1D2733"/>
                <w:sz w:val="16"/>
              </w:rPr>
              <w:t>Rihuum Master Enterprises</w:t>
            </w:r>
          </w:p>
        </w:tc>
        <w:tc>
          <w:tcPr>
            <w:tcW w:type="dxa" w:w="4750"/>
            <w:vAlign w:val="center"/>
            <w:tcMar>
              <w:top w:w="80" w:type="dxa"/>
              <w:start w:w="120" w:type="dxa"/>
              <w:bottom w:w="80" w:type="dxa"/>
              <w:end w:w="120" w:type="dxa"/>
            </w:tcMar>
          </w:tcPr>
          <w:p>
            <w:pPr>
              <w:spacing w:before="0" w:after="20" w:line="252" w:lineRule="auto"/>
              <w:jc w:val="left"/>
            </w:pPr>
            <w:r>
              <w:rPr>
                <w:color w:val="1D2733"/>
                <w:sz w:val="16"/>
              </w:rPr>
              <w:t>Shared enterprise core and product control plane: identity, tenancy, master records, workflow, commercial controls, integration, audit, support and lifecycle operations</w:t>
            </w:r>
          </w:p>
        </w:tc>
        <w:tc>
          <w:tcPr>
            <w:tcW w:type="dxa" w:w="2360"/>
            <w:vAlign w:val="center"/>
            <w:tcMar>
              <w:top w:w="80" w:type="dxa"/>
              <w:start w:w="120" w:type="dxa"/>
              <w:bottom w:w="80" w:type="dxa"/>
              <w:end w:w="120" w:type="dxa"/>
            </w:tcMar>
          </w:tcPr>
          <w:p>
            <w:pPr>
              <w:spacing w:before="0" w:after="20" w:line="252" w:lineRule="auto"/>
              <w:jc w:val="left"/>
            </w:pPr>
            <w:r>
              <w:rPr>
                <w:color w:val="1D2733"/>
                <w:sz w:val="16"/>
              </w:rPr>
              <w:t>Platform subscription/licence, implementation, managed hosting and internal shared-platform allocation</w:t>
            </w:r>
          </w:p>
        </w:tc>
      </w:tr>
      <w:tr>
        <w:trPr>
          <w:cantSplit/>
        </w:trPr>
        <w:tc>
          <w:tcPr>
            <w:tcW w:type="dxa" w:w="2250"/>
            <w:vAlign w:val="center"/>
            <w:shd w:fill="FAFBFC"/>
            <w:tcMar>
              <w:top w:w="80" w:type="dxa"/>
              <w:start w:w="120" w:type="dxa"/>
              <w:bottom w:w="80" w:type="dxa"/>
              <w:end w:w="120" w:type="dxa"/>
            </w:tcMar>
          </w:tcPr>
          <w:p>
            <w:pPr>
              <w:spacing w:before="0" w:after="20" w:line="252" w:lineRule="auto"/>
              <w:jc w:val="left"/>
            </w:pPr>
            <w:r>
              <w:rPr>
                <w:color w:val="1D2733"/>
                <w:sz w:val="16"/>
              </w:rPr>
              <w:t>Rihuum OS</w:t>
            </w:r>
          </w:p>
        </w:tc>
        <w:tc>
          <w:tcPr>
            <w:tcW w:type="dxa" w:w="4750"/>
            <w:vAlign w:val="center"/>
            <w:shd w:fill="FAFBFC"/>
            <w:tcMar>
              <w:top w:w="80" w:type="dxa"/>
              <w:start w:w="120" w:type="dxa"/>
              <w:bottom w:w="80" w:type="dxa"/>
              <w:end w:w="120" w:type="dxa"/>
            </w:tcMar>
          </w:tcPr>
          <w:p>
            <w:pPr>
              <w:spacing w:before="0" w:after="20" w:line="252" w:lineRule="auto"/>
              <w:jc w:val="left"/>
            </w:pPr>
            <w:r>
              <w:rPr>
                <w:color w:val="1D2733"/>
                <w:sz w:val="16"/>
              </w:rPr>
              <w:t>Unified enterprise and industry operating experience, modules, portals and analytics powered by RME</w:t>
            </w:r>
          </w:p>
        </w:tc>
        <w:tc>
          <w:tcPr>
            <w:tcW w:type="dxa" w:w="2360"/>
            <w:vAlign w:val="center"/>
            <w:shd w:fill="FAFBFC"/>
            <w:tcMar>
              <w:top w:w="80" w:type="dxa"/>
              <w:start w:w="120" w:type="dxa"/>
              <w:bottom w:w="80" w:type="dxa"/>
              <w:end w:w="120" w:type="dxa"/>
            </w:tcMar>
          </w:tcPr>
          <w:p>
            <w:pPr>
              <w:spacing w:before="0" w:after="20" w:line="252" w:lineRule="auto"/>
              <w:jc w:val="left"/>
            </w:pPr>
            <w:r>
              <w:rPr>
                <w:color w:val="1D2733"/>
                <w:sz w:val="16"/>
              </w:rPr>
              <w:t>Subscription, tenant/module licence, implementation, support and managed hosting</w:t>
            </w:r>
          </w:p>
        </w:tc>
      </w:tr>
      <w:tr>
        <w:trPr>
          <w:cantSplit/>
        </w:trPr>
        <w:tc>
          <w:tcPr>
            <w:tcW w:type="dxa" w:w="2250"/>
            <w:vAlign w:val="center"/>
            <w:tcMar>
              <w:top w:w="80" w:type="dxa"/>
              <w:start w:w="120" w:type="dxa"/>
              <w:bottom w:w="80" w:type="dxa"/>
              <w:end w:w="120" w:type="dxa"/>
            </w:tcMar>
          </w:tcPr>
          <w:p>
            <w:pPr>
              <w:spacing w:before="0" w:after="20" w:line="252" w:lineRule="auto"/>
              <w:jc w:val="left"/>
            </w:pPr>
            <w:r>
              <w:rPr>
                <w:color w:val="1D2733"/>
                <w:sz w:val="16"/>
              </w:rPr>
              <w:t>Rihuum AI and Agentic AI</w:t>
            </w:r>
          </w:p>
        </w:tc>
        <w:tc>
          <w:tcPr>
            <w:tcW w:type="dxa" w:w="4750"/>
            <w:vAlign w:val="center"/>
            <w:tcMar>
              <w:top w:w="80" w:type="dxa"/>
              <w:start w:w="120" w:type="dxa"/>
              <w:bottom w:w="80" w:type="dxa"/>
              <w:end w:w="120" w:type="dxa"/>
            </w:tcMar>
          </w:tcPr>
          <w:p>
            <w:pPr>
              <w:spacing w:before="0" w:after="20" w:line="252" w:lineRule="auto"/>
              <w:jc w:val="left"/>
            </w:pPr>
            <w:r>
              <w:rPr>
                <w:color w:val="1D2733"/>
                <w:sz w:val="16"/>
              </w:rPr>
              <w:t>Knowledge assistants, governed agents, analytics, automation and model integration</w:t>
            </w:r>
          </w:p>
        </w:tc>
        <w:tc>
          <w:tcPr>
            <w:tcW w:type="dxa" w:w="2360"/>
            <w:vAlign w:val="center"/>
            <w:tcMar>
              <w:top w:w="80" w:type="dxa"/>
              <w:start w:w="120" w:type="dxa"/>
              <w:bottom w:w="80" w:type="dxa"/>
              <w:end w:w="120" w:type="dxa"/>
            </w:tcMar>
          </w:tcPr>
          <w:p>
            <w:pPr>
              <w:spacing w:before="0" w:after="20" w:line="252" w:lineRule="auto"/>
              <w:jc w:val="left"/>
            </w:pPr>
            <w:r>
              <w:rPr>
                <w:color w:val="1D2733"/>
                <w:sz w:val="16"/>
              </w:rPr>
              <w:t>Subscription/usage, implementation, evaluation, support and private deployment</w:t>
            </w:r>
          </w:p>
        </w:tc>
      </w:tr>
      <w:tr>
        <w:trPr>
          <w:cantSplit/>
        </w:trPr>
        <w:tc>
          <w:tcPr>
            <w:tcW w:type="dxa" w:w="2250"/>
            <w:vAlign w:val="center"/>
            <w:shd w:fill="FAFBFC"/>
            <w:tcMar>
              <w:top w:w="80" w:type="dxa"/>
              <w:start w:w="120" w:type="dxa"/>
              <w:bottom w:w="80" w:type="dxa"/>
              <w:end w:w="120" w:type="dxa"/>
            </w:tcMar>
          </w:tcPr>
          <w:p>
            <w:pPr>
              <w:spacing w:before="0" w:after="20" w:line="252" w:lineRule="auto"/>
              <w:jc w:val="left"/>
            </w:pPr>
            <w:r>
              <w:rPr>
                <w:color w:val="1D2733"/>
                <w:sz w:val="16"/>
              </w:rPr>
              <w:t>Software and Digital Transformation</w:t>
            </w:r>
          </w:p>
        </w:tc>
        <w:tc>
          <w:tcPr>
            <w:tcW w:type="dxa" w:w="4750"/>
            <w:vAlign w:val="center"/>
            <w:shd w:fill="FAFBFC"/>
            <w:tcMar>
              <w:top w:w="80" w:type="dxa"/>
              <w:start w:w="120" w:type="dxa"/>
              <w:bottom w:w="80" w:type="dxa"/>
              <w:end w:w="120" w:type="dxa"/>
            </w:tcMar>
          </w:tcPr>
          <w:p>
            <w:pPr>
              <w:spacing w:before="0" w:after="20" w:line="252" w:lineRule="auto"/>
              <w:jc w:val="left"/>
            </w:pPr>
            <w:r>
              <w:rPr>
                <w:color w:val="1D2733"/>
                <w:sz w:val="16"/>
              </w:rPr>
              <w:t>Custom applications, integrations, websites, process redesign and managed product teams</w:t>
            </w:r>
          </w:p>
        </w:tc>
        <w:tc>
          <w:tcPr>
            <w:tcW w:type="dxa" w:w="2360"/>
            <w:vAlign w:val="center"/>
            <w:shd w:fill="FAFBFC"/>
            <w:tcMar>
              <w:top w:w="80" w:type="dxa"/>
              <w:start w:w="120" w:type="dxa"/>
              <w:bottom w:w="80" w:type="dxa"/>
              <w:end w:w="120" w:type="dxa"/>
            </w:tcMar>
          </w:tcPr>
          <w:p>
            <w:pPr>
              <w:spacing w:before="0" w:after="20" w:line="252" w:lineRule="auto"/>
              <w:jc w:val="left"/>
            </w:pPr>
            <w:r>
              <w:rPr>
                <w:color w:val="1D2733"/>
                <w:sz w:val="16"/>
              </w:rPr>
              <w:t>Projects, retainers, licences and support</w:t>
            </w:r>
          </w:p>
        </w:tc>
      </w:tr>
      <w:tr>
        <w:trPr>
          <w:cantSplit/>
        </w:trPr>
        <w:tc>
          <w:tcPr>
            <w:tcW w:type="dxa" w:w="2250"/>
            <w:vAlign w:val="center"/>
            <w:tcMar>
              <w:top w:w="80" w:type="dxa"/>
              <w:start w:w="120" w:type="dxa"/>
              <w:bottom w:w="80" w:type="dxa"/>
              <w:end w:w="120" w:type="dxa"/>
            </w:tcMar>
          </w:tcPr>
          <w:p>
            <w:pPr>
              <w:spacing w:before="0" w:after="20" w:line="252" w:lineRule="auto"/>
              <w:jc w:val="left"/>
            </w:pPr>
            <w:r>
              <w:rPr>
                <w:color w:val="1D2733"/>
                <w:sz w:val="16"/>
              </w:rPr>
              <w:t>Cybersecurity and Digital Trust</w:t>
            </w:r>
          </w:p>
        </w:tc>
        <w:tc>
          <w:tcPr>
            <w:tcW w:type="dxa" w:w="4750"/>
            <w:vAlign w:val="center"/>
            <w:tcMar>
              <w:top w:w="80" w:type="dxa"/>
              <w:start w:w="120" w:type="dxa"/>
              <w:bottom w:w="80" w:type="dxa"/>
              <w:end w:w="120" w:type="dxa"/>
            </w:tcMar>
          </w:tcPr>
          <w:p>
            <w:pPr>
              <w:spacing w:before="0" w:after="20" w:line="252" w:lineRule="auto"/>
              <w:jc w:val="left"/>
            </w:pPr>
            <w:r>
              <w:rPr>
                <w:color w:val="1D2733"/>
                <w:sz w:val="16"/>
              </w:rPr>
              <w:t>Assessments, secure architecture, privacy, awareness, monitoring coordination and incident readiness</w:t>
            </w:r>
          </w:p>
        </w:tc>
        <w:tc>
          <w:tcPr>
            <w:tcW w:type="dxa" w:w="2360"/>
            <w:vAlign w:val="center"/>
            <w:tcMar>
              <w:top w:w="80" w:type="dxa"/>
              <w:start w:w="120" w:type="dxa"/>
              <w:bottom w:w="80" w:type="dxa"/>
              <w:end w:w="120" w:type="dxa"/>
            </w:tcMar>
          </w:tcPr>
          <w:p>
            <w:pPr>
              <w:spacing w:before="0" w:after="20" w:line="252" w:lineRule="auto"/>
              <w:jc w:val="left"/>
            </w:pPr>
            <w:r>
              <w:rPr>
                <w:color w:val="1D2733"/>
                <w:sz w:val="16"/>
              </w:rPr>
              <w:t>Assessment, managed service, training and retainers</w:t>
            </w:r>
          </w:p>
        </w:tc>
      </w:tr>
      <w:tr>
        <w:trPr>
          <w:cantSplit/>
        </w:trPr>
        <w:tc>
          <w:tcPr>
            <w:tcW w:type="dxa" w:w="2250"/>
            <w:vAlign w:val="center"/>
            <w:shd w:fill="FAFBFC"/>
            <w:tcMar>
              <w:top w:w="80" w:type="dxa"/>
              <w:start w:w="120" w:type="dxa"/>
              <w:bottom w:w="80" w:type="dxa"/>
              <w:end w:w="120" w:type="dxa"/>
            </w:tcMar>
          </w:tcPr>
          <w:p>
            <w:pPr>
              <w:spacing w:before="0" w:after="20" w:line="252" w:lineRule="auto"/>
              <w:jc w:val="left"/>
            </w:pPr>
            <w:r>
              <w:rPr>
                <w:color w:val="1D2733"/>
                <w:sz w:val="16"/>
              </w:rPr>
              <w:t>Cloud, Infrastructure and Networking</w:t>
            </w:r>
          </w:p>
        </w:tc>
        <w:tc>
          <w:tcPr>
            <w:tcW w:type="dxa" w:w="4750"/>
            <w:vAlign w:val="center"/>
            <w:shd w:fill="FAFBFC"/>
            <w:tcMar>
              <w:top w:w="80" w:type="dxa"/>
              <w:start w:w="120" w:type="dxa"/>
              <w:bottom w:w="80" w:type="dxa"/>
              <w:end w:w="120" w:type="dxa"/>
            </w:tcMar>
          </w:tcPr>
          <w:p>
            <w:pPr>
              <w:spacing w:before="0" w:after="20" w:line="252" w:lineRule="auto"/>
              <w:jc w:val="left"/>
            </w:pPr>
            <w:r>
              <w:rPr>
                <w:color w:val="1D2733"/>
                <w:sz w:val="16"/>
              </w:rPr>
              <w:t>Hosting, migration, networks, backup, monitoring and operations</w:t>
            </w:r>
          </w:p>
        </w:tc>
        <w:tc>
          <w:tcPr>
            <w:tcW w:type="dxa" w:w="2360"/>
            <w:vAlign w:val="center"/>
            <w:shd w:fill="FAFBFC"/>
            <w:tcMar>
              <w:top w:w="80" w:type="dxa"/>
              <w:start w:w="120" w:type="dxa"/>
              <w:bottom w:w="80" w:type="dxa"/>
              <w:end w:w="120" w:type="dxa"/>
            </w:tcMar>
          </w:tcPr>
          <w:p>
            <w:pPr>
              <w:spacing w:before="0" w:after="20" w:line="252" w:lineRule="auto"/>
              <w:jc w:val="left"/>
            </w:pPr>
            <w:r>
              <w:rPr>
                <w:color w:val="1D2733"/>
                <w:sz w:val="16"/>
              </w:rPr>
              <w:t>Projects, hardware margin, managed service and support</w:t>
            </w:r>
          </w:p>
        </w:tc>
      </w:tr>
      <w:tr>
        <w:trPr>
          <w:cantSplit/>
        </w:trPr>
        <w:tc>
          <w:tcPr>
            <w:tcW w:type="dxa" w:w="2250"/>
            <w:vAlign w:val="center"/>
            <w:tcMar>
              <w:top w:w="80" w:type="dxa"/>
              <w:start w:w="120" w:type="dxa"/>
              <w:bottom w:w="80" w:type="dxa"/>
              <w:end w:w="120" w:type="dxa"/>
            </w:tcMar>
          </w:tcPr>
          <w:p>
            <w:pPr>
              <w:spacing w:before="0" w:after="20" w:line="252" w:lineRule="auto"/>
              <w:jc w:val="left"/>
            </w:pPr>
            <w:r>
              <w:rPr>
                <w:color w:val="1D2733"/>
                <w:sz w:val="16"/>
              </w:rPr>
              <w:t>Smart Security, IoT and Telematics</w:t>
            </w:r>
          </w:p>
        </w:tc>
        <w:tc>
          <w:tcPr>
            <w:tcW w:type="dxa" w:w="4750"/>
            <w:vAlign w:val="center"/>
            <w:tcMar>
              <w:top w:w="80" w:type="dxa"/>
              <w:start w:w="120" w:type="dxa"/>
              <w:bottom w:w="80" w:type="dxa"/>
              <w:end w:w="120" w:type="dxa"/>
            </w:tcMar>
          </w:tcPr>
          <w:p>
            <w:pPr>
              <w:spacing w:before="0" w:after="20" w:line="252" w:lineRule="auto"/>
              <w:jc w:val="left"/>
            </w:pPr>
            <w:r>
              <w:rPr>
                <w:color w:val="1D2733"/>
                <w:sz w:val="16"/>
              </w:rPr>
              <w:t>CCTV, access control, sensors, fleet/asset visibility and automation</w:t>
            </w:r>
          </w:p>
        </w:tc>
        <w:tc>
          <w:tcPr>
            <w:tcW w:type="dxa" w:w="2360"/>
            <w:vAlign w:val="center"/>
            <w:tcMar>
              <w:top w:w="80" w:type="dxa"/>
              <w:start w:w="120" w:type="dxa"/>
              <w:bottom w:w="80" w:type="dxa"/>
              <w:end w:w="120" w:type="dxa"/>
            </w:tcMar>
          </w:tcPr>
          <w:p>
            <w:pPr>
              <w:spacing w:before="0" w:after="20" w:line="252" w:lineRule="auto"/>
              <w:jc w:val="left"/>
            </w:pPr>
            <w:r>
              <w:rPr>
                <w:color w:val="1D2733"/>
                <w:sz w:val="16"/>
              </w:rPr>
              <w:t>Hardware, installation, subscription, maintenance and analytics</w:t>
            </w:r>
          </w:p>
        </w:tc>
      </w:tr>
      <w:tr>
        <w:trPr>
          <w:cantSplit/>
        </w:trPr>
        <w:tc>
          <w:tcPr>
            <w:tcW w:type="dxa" w:w="2250"/>
            <w:vAlign w:val="center"/>
            <w:shd w:fill="FAFBFC"/>
            <w:tcMar>
              <w:top w:w="80" w:type="dxa"/>
              <w:start w:w="120" w:type="dxa"/>
              <w:bottom w:w="80" w:type="dxa"/>
              <w:end w:w="120" w:type="dxa"/>
            </w:tcMar>
          </w:tcPr>
          <w:p>
            <w:pPr>
              <w:spacing w:before="0" w:after="20" w:line="252" w:lineRule="auto"/>
              <w:jc w:val="left"/>
            </w:pPr>
            <w:r>
              <w:rPr>
                <w:color w:val="1D2733"/>
                <w:sz w:val="16"/>
              </w:rPr>
              <w:t>Technology and Digital Hub</w:t>
            </w:r>
          </w:p>
        </w:tc>
        <w:tc>
          <w:tcPr>
            <w:tcW w:type="dxa" w:w="4750"/>
            <w:vAlign w:val="center"/>
            <w:shd w:fill="FAFBFC"/>
            <w:tcMar>
              <w:top w:w="80" w:type="dxa"/>
              <w:start w:w="120" w:type="dxa"/>
              <w:bottom w:w="80" w:type="dxa"/>
              <w:end w:w="120" w:type="dxa"/>
            </w:tcMar>
          </w:tcPr>
          <w:p>
            <w:pPr>
              <w:spacing w:before="0" w:after="20" w:line="252" w:lineRule="auto"/>
              <w:jc w:val="left"/>
            </w:pPr>
            <w:r>
              <w:rPr>
                <w:color w:val="1D2733"/>
                <w:sz w:val="16"/>
              </w:rPr>
              <w:t>Courses, bootcamps, enterprise training, labs, apprenticeships and workforce programmes</w:t>
            </w:r>
          </w:p>
        </w:tc>
        <w:tc>
          <w:tcPr>
            <w:tcW w:type="dxa" w:w="2360"/>
            <w:vAlign w:val="center"/>
            <w:shd w:fill="FAFBFC"/>
            <w:tcMar>
              <w:top w:w="80" w:type="dxa"/>
              <w:start w:w="120" w:type="dxa"/>
              <w:bottom w:w="80" w:type="dxa"/>
              <w:end w:w="120" w:type="dxa"/>
            </w:tcMar>
          </w:tcPr>
          <w:p>
            <w:pPr>
              <w:spacing w:before="0" w:after="20" w:line="252" w:lineRule="auto"/>
              <w:jc w:val="left"/>
            </w:pPr>
            <w:r>
              <w:rPr>
                <w:color w:val="1D2733"/>
                <w:sz w:val="16"/>
              </w:rPr>
              <w:t>Tuition, corporate cohorts, grants, sponsorship and platform licences</w:t>
            </w:r>
          </w:p>
        </w:tc>
      </w:tr>
      <w:tr>
        <w:trPr>
          <w:cantSplit/>
        </w:trPr>
        <w:tc>
          <w:tcPr>
            <w:tcW w:type="dxa" w:w="2250"/>
            <w:vAlign w:val="center"/>
            <w:tcMar>
              <w:top w:w="80" w:type="dxa"/>
              <w:start w:w="120" w:type="dxa"/>
              <w:bottom w:w="80" w:type="dxa"/>
              <w:end w:w="120" w:type="dxa"/>
            </w:tcMar>
          </w:tcPr>
          <w:p>
            <w:pPr>
              <w:spacing w:before="0" w:after="20" w:line="252" w:lineRule="auto"/>
              <w:jc w:val="left"/>
            </w:pPr>
            <w:r>
              <w:rPr>
                <w:color w:val="1D2733"/>
                <w:sz w:val="16"/>
              </w:rPr>
              <w:t>Hospitality and Events</w:t>
            </w:r>
          </w:p>
        </w:tc>
        <w:tc>
          <w:tcPr>
            <w:tcW w:type="dxa" w:w="4750"/>
            <w:vAlign w:val="center"/>
            <w:tcMar>
              <w:top w:w="80" w:type="dxa"/>
              <w:start w:w="120" w:type="dxa"/>
              <w:bottom w:w="80" w:type="dxa"/>
              <w:end w:w="120" w:type="dxa"/>
            </w:tcMar>
          </w:tcPr>
          <w:p>
            <w:pPr>
              <w:spacing w:before="0" w:after="20" w:line="252" w:lineRule="auto"/>
              <w:jc w:val="left"/>
            </w:pPr>
            <w:r>
              <w:rPr>
                <w:color w:val="1D2733"/>
                <w:sz w:val="16"/>
              </w:rPr>
              <w:t>Hospitality technology, guest/service workflows, property systems, event delivery and smart facilities</w:t>
            </w:r>
          </w:p>
        </w:tc>
        <w:tc>
          <w:tcPr>
            <w:tcW w:type="dxa" w:w="2360"/>
            <w:vAlign w:val="center"/>
            <w:tcMar>
              <w:top w:w="80" w:type="dxa"/>
              <w:start w:w="120" w:type="dxa"/>
              <w:bottom w:w="80" w:type="dxa"/>
              <w:end w:w="120" w:type="dxa"/>
            </w:tcMar>
          </w:tcPr>
          <w:p>
            <w:pPr>
              <w:spacing w:before="0" w:after="20" w:line="252" w:lineRule="auto"/>
              <w:jc w:val="left"/>
            </w:pPr>
            <w:r>
              <w:rPr>
                <w:color w:val="1D2733"/>
                <w:sz w:val="16"/>
              </w:rPr>
              <w:t>Projects, subscriptions, operations fees and vendor margin</w:t>
            </w:r>
          </w:p>
        </w:tc>
      </w:tr>
      <w:tr>
        <w:trPr>
          <w:cantSplit/>
        </w:trPr>
        <w:tc>
          <w:tcPr>
            <w:tcW w:type="dxa" w:w="2250"/>
            <w:vAlign w:val="center"/>
            <w:shd w:fill="FAFBFC"/>
            <w:tcMar>
              <w:top w:w="80" w:type="dxa"/>
              <w:start w:w="120" w:type="dxa"/>
              <w:bottom w:w="80" w:type="dxa"/>
              <w:end w:w="120" w:type="dxa"/>
            </w:tcMar>
          </w:tcPr>
          <w:p>
            <w:pPr>
              <w:spacing w:before="0" w:after="20" w:line="252" w:lineRule="auto"/>
              <w:jc w:val="left"/>
            </w:pPr>
            <w:r>
              <w:rPr>
                <w:color w:val="1D2733"/>
                <w:sz w:val="16"/>
              </w:rPr>
              <w:t>Research, Analytics and BI</w:t>
            </w:r>
          </w:p>
        </w:tc>
        <w:tc>
          <w:tcPr>
            <w:tcW w:type="dxa" w:w="4750"/>
            <w:vAlign w:val="center"/>
            <w:shd w:fill="FAFBFC"/>
            <w:tcMar>
              <w:top w:w="80" w:type="dxa"/>
              <w:start w:w="120" w:type="dxa"/>
              <w:bottom w:w="80" w:type="dxa"/>
              <w:end w:w="120" w:type="dxa"/>
            </w:tcMar>
          </w:tcPr>
          <w:p>
            <w:pPr>
              <w:spacing w:before="0" w:after="20" w:line="252" w:lineRule="auto"/>
              <w:jc w:val="left"/>
            </w:pPr>
            <w:r>
              <w:rPr>
                <w:color w:val="1D2733"/>
                <w:sz w:val="16"/>
              </w:rPr>
              <w:t>Market/operational research, dashboards, data engineering, forecasting and decision support</w:t>
            </w:r>
          </w:p>
        </w:tc>
        <w:tc>
          <w:tcPr>
            <w:tcW w:type="dxa" w:w="2360"/>
            <w:vAlign w:val="center"/>
            <w:shd w:fill="FAFBFC"/>
            <w:tcMar>
              <w:top w:w="80" w:type="dxa"/>
              <w:start w:w="120" w:type="dxa"/>
              <w:bottom w:w="80" w:type="dxa"/>
              <w:end w:w="120" w:type="dxa"/>
            </w:tcMar>
          </w:tcPr>
          <w:p>
            <w:pPr>
              <w:spacing w:before="0" w:after="20" w:line="252" w:lineRule="auto"/>
              <w:jc w:val="left"/>
            </w:pPr>
            <w:r>
              <w:rPr>
                <w:color w:val="1D2733"/>
                <w:sz w:val="16"/>
              </w:rPr>
              <w:t>Projects, data products, subscriptions and advisory</w:t>
            </w:r>
          </w:p>
        </w:tc>
      </w:tr>
      <w:tr>
        <w:trPr>
          <w:cantSplit/>
        </w:trPr>
        <w:tc>
          <w:tcPr>
            <w:tcW w:type="dxa" w:w="2250"/>
            <w:vAlign w:val="center"/>
            <w:tcMar>
              <w:top w:w="80" w:type="dxa"/>
              <w:start w:w="120" w:type="dxa"/>
              <w:bottom w:w="80" w:type="dxa"/>
              <w:end w:w="120" w:type="dxa"/>
            </w:tcMar>
          </w:tcPr>
          <w:p>
            <w:pPr>
              <w:spacing w:before="0" w:after="20" w:line="252" w:lineRule="auto"/>
              <w:jc w:val="left"/>
            </w:pPr>
            <w:r>
              <w:rPr>
                <w:color w:val="1D2733"/>
                <w:sz w:val="16"/>
              </w:rPr>
              <w:t>Venture Builder and Innovation Lab</w:t>
            </w:r>
          </w:p>
        </w:tc>
        <w:tc>
          <w:tcPr>
            <w:tcW w:type="dxa" w:w="4750"/>
            <w:vAlign w:val="center"/>
            <w:tcMar>
              <w:top w:w="80" w:type="dxa"/>
              <w:start w:w="120" w:type="dxa"/>
              <w:bottom w:w="80" w:type="dxa"/>
              <w:end w:w="120" w:type="dxa"/>
            </w:tcMar>
          </w:tcPr>
          <w:p>
            <w:pPr>
              <w:spacing w:before="0" w:after="20" w:line="252" w:lineRule="auto"/>
              <w:jc w:val="left"/>
            </w:pPr>
            <w:r>
              <w:rPr>
                <w:color w:val="1D2733"/>
                <w:sz w:val="16"/>
              </w:rPr>
              <w:t>Discovery, prototypes, incubation, IP commercialisation and partnerships</w:t>
            </w:r>
          </w:p>
        </w:tc>
        <w:tc>
          <w:tcPr>
            <w:tcW w:type="dxa" w:w="2360"/>
            <w:vAlign w:val="center"/>
            <w:tcMar>
              <w:top w:w="80" w:type="dxa"/>
              <w:start w:w="120" w:type="dxa"/>
              <w:bottom w:w="80" w:type="dxa"/>
              <w:end w:w="120" w:type="dxa"/>
            </w:tcMar>
          </w:tcPr>
          <w:p>
            <w:pPr>
              <w:spacing w:before="0" w:after="20" w:line="252" w:lineRule="auto"/>
              <w:jc w:val="left"/>
            </w:pPr>
            <w:r>
              <w:rPr>
                <w:color w:val="1D2733"/>
                <w:sz w:val="16"/>
              </w:rPr>
              <w:t>Equity/options, royalties, licences, programme fees and co-investment</w:t>
            </w:r>
          </w:p>
        </w:tc>
      </w:tr>
    </w:tbl>
    <w:p>
      <w:pPr>
        <w:pStyle w:val="Heading2"/>
      </w:pPr>
      <w:r>
        <w:t>Product-platform hierarchy</w:t>
      </w:r>
    </w:p>
    <w:p>
      <w:pPr>
        <w:pStyle w:val="ListNumber"/>
        <w:keepLines/>
        <w:numPr>
          <w:ilvl w:val="0"/>
          <w:numId w:val="12"/>
        </w:numPr>
      </w:pPr>
      <w:r>
        <w:rPr>
          <w:b/>
        </w:rPr>
        <w:t xml:space="preserve">Rihuum Master Enterprises: </w:t>
      </w:r>
      <w:r>
        <w:t>The shared enterprise core and product control plane. All authorised Rihuum products consume its identity, tenancy, master-record, workflow, commercial, audit, support, integration and lifecycle contracts.</w:t>
      </w:r>
    </w:p>
    <w:p>
      <w:pPr>
        <w:pStyle w:val="ListNumber"/>
        <w:keepLines/>
        <w:numPr>
          <w:ilvl w:val="0"/>
          <w:numId w:val="12"/>
        </w:numPr>
      </w:pPr>
      <w:r>
        <w:rPr>
          <w:b/>
        </w:rPr>
        <w:t xml:space="preserve">Rihuum OS: </w:t>
      </w:r>
      <w:r>
        <w:t>The unified enterprise and industry operating experience and product family built on RME.</w:t>
      </w:r>
    </w:p>
    <w:p>
      <w:pPr>
        <w:pStyle w:val="ListNumber"/>
        <w:keepLines/>
        <w:numPr>
          <w:ilvl w:val="0"/>
          <w:numId w:val="12"/>
        </w:numPr>
      </w:pPr>
      <w:r>
        <w:rPr>
          <w:b/>
        </w:rPr>
        <w:t xml:space="preserve">Rihuum Intelligence Architecture: </w:t>
      </w:r>
      <w:r>
        <w:t>The governed intelligence layer that uses RME identity, data, policy, approvals and audit; it never bypasses them.</w:t>
      </w:r>
    </w:p>
    <w:p>
      <w:pPr>
        <w:pStyle w:val="ListNumber"/>
        <w:keepLines/>
        <w:numPr>
          <w:ilvl w:val="0"/>
          <w:numId w:val="12"/>
        </w:numPr>
      </w:pPr>
      <w:r>
        <w:rPr>
          <w:b/>
        </w:rPr>
        <w:t xml:space="preserve">Products and sector modules: </w:t>
      </w:r>
      <w:r>
        <w:t>Academy, hospitality, smart operations, CRM/ERP and future solutions reuse RME services and RIA controls rather than create isolated foundations.</w:t>
      </w:r>
    </w:p>
    <w:p>
      <w:pPr>
        <w:pStyle w:val="Heading2"/>
      </w:pPr>
      <w:r>
        <w:t>RME-powered Rihuum OS product family</w:t>
      </w:r>
    </w:p>
    <w:p>
      <w:pPr>
        <w:pStyle w:val="ListBullet"/>
        <w:keepLines/>
      </w:pPr>
      <w:r>
        <w:rPr>
          <w:b/>
        </w:rPr>
        <w:t xml:space="preserve">RME Core: </w:t>
      </w:r>
      <w:r>
        <w:t>Identity, organisations/tenants, roles and policies, master records, workflow, notifications, audit, billing, subscription/licensing, entitlements, support, product registry and configuration.</w:t>
      </w:r>
    </w:p>
    <w:p>
      <w:pPr>
        <w:pStyle w:val="ListBullet"/>
        <w:keepLines/>
      </w:pPr>
      <w:r>
        <w:rPr>
          <w:b/>
        </w:rPr>
        <w:t xml:space="preserve">Rihuum OS shell: </w:t>
      </w:r>
      <w:r>
        <w:t>Responsive navigation, workspaces, dashboards, search, command experience and module composition over RME capabilities.</w:t>
      </w:r>
    </w:p>
    <w:p>
      <w:pPr>
        <w:pStyle w:val="ListBullet"/>
        <w:keepLines/>
      </w:pPr>
      <w:r>
        <w:rPr>
          <w:b/>
        </w:rPr>
        <w:t xml:space="preserve">Business modules: </w:t>
      </w:r>
      <w:r>
        <w:t>CRM, sales, projects, inventory/procurement, HRIS, finance interfaces, service desk and reporting.</w:t>
      </w:r>
    </w:p>
    <w:p>
      <w:pPr>
        <w:pStyle w:val="ListBullet"/>
        <w:keepLines/>
      </w:pPr>
      <w:r>
        <w:rPr>
          <w:b/>
        </w:rPr>
        <w:t xml:space="preserve">Learning module: </w:t>
      </w:r>
      <w:r>
        <w:t>Programmes, enrolment, content, cohorts, assessments, credentials, instructor operations and employer outcomes.</w:t>
      </w:r>
    </w:p>
    <w:p>
      <w:pPr>
        <w:pStyle w:val="ListBullet"/>
        <w:keepLines/>
      </w:pPr>
      <w:r>
        <w:rPr>
          <w:b/>
        </w:rPr>
        <w:t xml:space="preserve">Hospitality module: </w:t>
      </w:r>
      <w:r>
        <w:t>Bookings/inquiries, guest profile, service requests, events, facilities, maintenance, access and management reporting.</w:t>
      </w:r>
    </w:p>
    <w:p>
      <w:pPr>
        <w:pStyle w:val="ListBullet"/>
        <w:keepLines/>
      </w:pPr>
      <w:r>
        <w:rPr>
          <w:b/>
        </w:rPr>
        <w:t xml:space="preserve">Smart operations module: </w:t>
      </w:r>
      <w:r>
        <w:t>Devices, sites, assets, telemetry, alerts, maintenance, evidence and field-service workflows.</w:t>
      </w:r>
    </w:p>
    <w:p>
      <w:pPr>
        <w:pStyle w:val="ListBullet"/>
        <w:keepLines/>
      </w:pPr>
      <w:r>
        <w:rPr>
          <w:b/>
        </w:rPr>
        <w:t xml:space="preserve">RIA intelligence layer: </w:t>
      </w:r>
      <w:r>
        <w:t>Knowledge, assistants, governed agents, analytics, automation, evaluation and audit across authorised modules.</w:t>
      </w:r>
    </w:p>
    <w:p>
      <w:pPr>
        <w:pStyle w:val="Heading2"/>
      </w:pPr>
      <w:r>
        <w:t>Nigeria and Africa portfolio expansion</w:t>
      </w:r>
    </w:p>
    <w:p>
      <w:pPr>
        <w:pStyle w:val="LeadCallout"/>
      </w:pPr>
      <w:r>
        <w:t>The v2.3 controlled reproduction defines eight shared application suites, 31 named industry directions plus a custom-sector route, 16 platform/product directions and 14 service lines. These are portfolio architecture and discovery scopes—not claims of general availability. Investment follows customer evidence, specialist validation, regulatory review, delivery capacity and the existing lifecycle gates.</w:t>
      </w:r>
    </w:p>
    <w:p>
      <w:pPr>
        <w:pStyle w:val="Heading2"/>
        <w:pageBreakBefore/>
      </w:pPr>
      <w:r>
        <w:t>Portfolio lifecycle</w:t>
      </w:r>
    </w:p>
    <w:p>
      <w:pPr>
        <w:pStyle w:val="Caption"/>
      </w:pPr>
      <w:r>
        <w:t>Table 13. Required lifecycle states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600"/>
        <w:gridCol w:w="4050"/>
        <w:gridCol w:w="3710"/>
      </w:tblGrid>
      <w:tr>
        <w:trPr>
          <w:tblHeader w:val="true"/>
          <w:cantSplit/>
        </w:trPr>
        <w:tc>
          <w:tcPr>
            <w:tcW w:type="dxa" w:w="1600"/>
            <w:vAlign w:val="center"/>
            <w:shd w:fill="F2F4F7"/>
            <w:tcMar>
              <w:top w:w="80" w:type="dxa"/>
              <w:start w:w="120" w:type="dxa"/>
              <w:bottom w:w="80" w:type="dxa"/>
              <w:end w:w="120" w:type="dxa"/>
            </w:tcMar>
          </w:tcPr>
          <w:p>
            <w:pPr>
              <w:spacing w:before="0" w:after="0"/>
              <w:jc w:val="center"/>
            </w:pPr>
            <w:r>
              <w:rPr>
                <w:b/>
                <w:color w:val="102A43"/>
                <w:sz w:val="18"/>
              </w:rPr>
              <w:t>State</w:t>
            </w:r>
          </w:p>
        </w:tc>
        <w:tc>
          <w:tcPr>
            <w:tcW w:type="dxa" w:w="4050"/>
            <w:vAlign w:val="center"/>
            <w:shd w:fill="F2F4F7"/>
            <w:tcMar>
              <w:top w:w="80" w:type="dxa"/>
              <w:start w:w="120" w:type="dxa"/>
              <w:bottom w:w="80" w:type="dxa"/>
              <w:end w:w="120" w:type="dxa"/>
            </w:tcMar>
          </w:tcPr>
          <w:p>
            <w:pPr>
              <w:spacing w:before="0" w:after="0"/>
              <w:jc w:val="center"/>
            </w:pPr>
            <w:r>
              <w:rPr>
                <w:b/>
                <w:color w:val="102A43"/>
                <w:sz w:val="18"/>
              </w:rPr>
              <w:t>Meaning</w:t>
            </w:r>
          </w:p>
        </w:tc>
        <w:tc>
          <w:tcPr>
            <w:tcW w:type="dxa" w:w="3710"/>
            <w:vAlign w:val="center"/>
            <w:shd w:fill="F2F4F7"/>
            <w:tcMar>
              <w:top w:w="80" w:type="dxa"/>
              <w:start w:w="120" w:type="dxa"/>
              <w:bottom w:w="80" w:type="dxa"/>
              <w:end w:w="120" w:type="dxa"/>
            </w:tcMar>
          </w:tcPr>
          <w:p>
            <w:pPr>
              <w:spacing w:before="0" w:after="0"/>
              <w:jc w:val="left"/>
            </w:pPr>
            <w:r>
              <w:rPr>
                <w:b/>
                <w:color w:val="102A43"/>
                <w:sz w:val="18"/>
              </w:rPr>
              <w:t>Allowed commitment</w:t>
            </w:r>
          </w:p>
        </w:tc>
      </w:tr>
      <w:tr>
        <w:trPr>
          <w:cantSplit/>
        </w:trPr>
        <w:tc>
          <w:tcPr>
            <w:tcW w:type="dxa" w:w="1600"/>
            <w:vAlign w:val="center"/>
            <w:tcMar>
              <w:top w:w="80" w:type="dxa"/>
              <w:start w:w="120" w:type="dxa"/>
              <w:bottom w:w="80" w:type="dxa"/>
              <w:end w:w="120" w:type="dxa"/>
            </w:tcMar>
          </w:tcPr>
          <w:p>
            <w:pPr>
              <w:spacing w:before="0" w:after="20" w:line="252" w:lineRule="auto"/>
              <w:jc w:val="left"/>
            </w:pPr>
            <w:r>
              <w:rPr>
                <w:color w:val="1D2733"/>
                <w:sz w:val="17"/>
              </w:rPr>
              <w:t>Explore</w:t>
            </w:r>
          </w:p>
        </w:tc>
        <w:tc>
          <w:tcPr>
            <w:tcW w:type="dxa" w:w="4050"/>
            <w:vAlign w:val="center"/>
            <w:tcMar>
              <w:top w:w="80" w:type="dxa"/>
              <w:start w:w="120" w:type="dxa"/>
              <w:bottom w:w="80" w:type="dxa"/>
              <w:end w:w="120" w:type="dxa"/>
            </w:tcMar>
          </w:tcPr>
          <w:p>
            <w:pPr>
              <w:spacing w:before="0" w:after="20" w:line="252" w:lineRule="auto"/>
              <w:jc w:val="left"/>
            </w:pPr>
            <w:r>
              <w:rPr>
                <w:color w:val="1D2733"/>
                <w:sz w:val="17"/>
              </w:rPr>
              <w:t>Problem and market research; no product commitment</w:t>
            </w:r>
          </w:p>
        </w:tc>
        <w:tc>
          <w:tcPr>
            <w:tcW w:type="dxa" w:w="3710"/>
            <w:vAlign w:val="center"/>
            <w:tcMar>
              <w:top w:w="80" w:type="dxa"/>
              <w:start w:w="120" w:type="dxa"/>
              <w:bottom w:w="80" w:type="dxa"/>
              <w:end w:w="120" w:type="dxa"/>
            </w:tcMar>
          </w:tcPr>
          <w:p>
            <w:pPr>
              <w:spacing w:before="0" w:after="20" w:line="252" w:lineRule="auto"/>
              <w:jc w:val="left"/>
            </w:pPr>
            <w:r>
              <w:rPr>
                <w:color w:val="1D2733"/>
                <w:sz w:val="17"/>
              </w:rPr>
              <w:t>Time-boxed discovery only</w:t>
            </w:r>
          </w:p>
        </w:tc>
      </w:tr>
      <w:tr>
        <w:trPr>
          <w:cantSplit/>
        </w:trPr>
        <w:tc>
          <w:tcPr>
            <w:tcW w:type="dxa" w:w="1600"/>
            <w:vAlign w:val="center"/>
            <w:shd w:fill="FAFBFC"/>
            <w:tcMar>
              <w:top w:w="80" w:type="dxa"/>
              <w:start w:w="120" w:type="dxa"/>
              <w:bottom w:w="80" w:type="dxa"/>
              <w:end w:w="120" w:type="dxa"/>
            </w:tcMar>
          </w:tcPr>
          <w:p>
            <w:pPr>
              <w:spacing w:before="0" w:after="20" w:line="252" w:lineRule="auto"/>
              <w:jc w:val="left"/>
            </w:pPr>
            <w:r>
              <w:rPr>
                <w:color w:val="1D2733"/>
                <w:sz w:val="17"/>
              </w:rPr>
              <w:t>Incubate</w:t>
            </w:r>
          </w:p>
        </w:tc>
        <w:tc>
          <w:tcPr>
            <w:tcW w:type="dxa" w:w="4050"/>
            <w:vAlign w:val="center"/>
            <w:shd w:fill="FAFBFC"/>
            <w:tcMar>
              <w:top w:w="80" w:type="dxa"/>
              <w:start w:w="120" w:type="dxa"/>
              <w:bottom w:w="80" w:type="dxa"/>
              <w:end w:w="120" w:type="dxa"/>
            </w:tcMar>
          </w:tcPr>
          <w:p>
            <w:pPr>
              <w:spacing w:before="0" w:after="20" w:line="252" w:lineRule="auto"/>
              <w:jc w:val="left"/>
            </w:pPr>
            <w:r>
              <w:rPr>
                <w:color w:val="1D2733"/>
                <w:sz w:val="17"/>
              </w:rPr>
              <w:t>Prototype with named hypothesis, owner and budget</w:t>
            </w:r>
          </w:p>
        </w:tc>
        <w:tc>
          <w:tcPr>
            <w:tcW w:type="dxa" w:w="3710"/>
            <w:vAlign w:val="center"/>
            <w:shd w:fill="FAFBFC"/>
            <w:tcMar>
              <w:top w:w="80" w:type="dxa"/>
              <w:start w:w="120" w:type="dxa"/>
              <w:bottom w:w="80" w:type="dxa"/>
              <w:end w:w="120" w:type="dxa"/>
            </w:tcMar>
          </w:tcPr>
          <w:p>
            <w:pPr>
              <w:spacing w:before="0" w:after="20" w:line="252" w:lineRule="auto"/>
              <w:jc w:val="left"/>
            </w:pPr>
            <w:r>
              <w:rPr>
                <w:color w:val="1D2733"/>
                <w:sz w:val="17"/>
              </w:rPr>
              <w:t>Controlled users and non-production data</w:t>
            </w:r>
          </w:p>
        </w:tc>
      </w:tr>
      <w:tr>
        <w:trPr>
          <w:cantSplit/>
        </w:trPr>
        <w:tc>
          <w:tcPr>
            <w:tcW w:type="dxa" w:w="1600"/>
            <w:vAlign w:val="center"/>
            <w:tcMar>
              <w:top w:w="80" w:type="dxa"/>
              <w:start w:w="120" w:type="dxa"/>
              <w:bottom w:w="80" w:type="dxa"/>
              <w:end w:w="120" w:type="dxa"/>
            </w:tcMar>
          </w:tcPr>
          <w:p>
            <w:pPr>
              <w:spacing w:before="0" w:after="20" w:line="252" w:lineRule="auto"/>
              <w:jc w:val="left"/>
            </w:pPr>
            <w:r>
              <w:rPr>
                <w:color w:val="1D2733"/>
                <w:sz w:val="17"/>
              </w:rPr>
              <w:t>Pilot</w:t>
            </w:r>
          </w:p>
        </w:tc>
        <w:tc>
          <w:tcPr>
            <w:tcW w:type="dxa" w:w="4050"/>
            <w:vAlign w:val="center"/>
            <w:tcMar>
              <w:top w:w="80" w:type="dxa"/>
              <w:start w:w="120" w:type="dxa"/>
              <w:bottom w:w="80" w:type="dxa"/>
              <w:end w:w="120" w:type="dxa"/>
            </w:tcMar>
          </w:tcPr>
          <w:p>
            <w:pPr>
              <w:spacing w:before="0" w:after="20" w:line="252" w:lineRule="auto"/>
              <w:jc w:val="left"/>
            </w:pPr>
            <w:r>
              <w:rPr>
                <w:color w:val="1D2733"/>
                <w:sz w:val="17"/>
              </w:rPr>
              <w:t>Operational trial with support, controls and success measures</w:t>
            </w:r>
          </w:p>
        </w:tc>
        <w:tc>
          <w:tcPr>
            <w:tcW w:type="dxa" w:w="3710"/>
            <w:vAlign w:val="center"/>
            <w:tcMar>
              <w:top w:w="80" w:type="dxa"/>
              <w:start w:w="120" w:type="dxa"/>
              <w:bottom w:w="80" w:type="dxa"/>
              <w:end w:w="120" w:type="dxa"/>
            </w:tcMar>
          </w:tcPr>
          <w:p>
            <w:pPr>
              <w:spacing w:before="0" w:after="20" w:line="252" w:lineRule="auto"/>
              <w:jc w:val="left"/>
            </w:pPr>
            <w:r>
              <w:rPr>
                <w:color w:val="1D2733"/>
                <w:sz w:val="17"/>
              </w:rPr>
              <w:t>Limited contract and explicit pilot terms</w:t>
            </w:r>
          </w:p>
        </w:tc>
      </w:tr>
      <w:tr>
        <w:trPr>
          <w:cantSplit/>
        </w:trPr>
        <w:tc>
          <w:tcPr>
            <w:tcW w:type="dxa" w:w="1600"/>
            <w:vAlign w:val="center"/>
            <w:shd w:fill="FAFBFC"/>
            <w:tcMar>
              <w:top w:w="80" w:type="dxa"/>
              <w:start w:w="120" w:type="dxa"/>
              <w:bottom w:w="80" w:type="dxa"/>
              <w:end w:w="120" w:type="dxa"/>
            </w:tcMar>
          </w:tcPr>
          <w:p>
            <w:pPr>
              <w:spacing w:before="0" w:after="20" w:line="252" w:lineRule="auto"/>
              <w:jc w:val="left"/>
            </w:pPr>
            <w:r>
              <w:rPr>
                <w:color w:val="1D2733"/>
                <w:sz w:val="17"/>
              </w:rPr>
              <w:t>General availability</w:t>
            </w:r>
          </w:p>
        </w:tc>
        <w:tc>
          <w:tcPr>
            <w:tcW w:type="dxa" w:w="4050"/>
            <w:vAlign w:val="center"/>
            <w:shd w:fill="FAFBFC"/>
            <w:tcMar>
              <w:top w:w="80" w:type="dxa"/>
              <w:start w:w="120" w:type="dxa"/>
              <w:bottom w:w="80" w:type="dxa"/>
              <w:end w:w="120" w:type="dxa"/>
            </w:tcMar>
          </w:tcPr>
          <w:p>
            <w:pPr>
              <w:spacing w:before="0" w:after="20" w:line="252" w:lineRule="auto"/>
              <w:jc w:val="left"/>
            </w:pPr>
            <w:r>
              <w:rPr>
                <w:color w:val="1D2733"/>
                <w:sz w:val="17"/>
              </w:rPr>
              <w:t>Supported, documented, priced and production-ready</w:t>
            </w:r>
          </w:p>
        </w:tc>
        <w:tc>
          <w:tcPr>
            <w:tcW w:type="dxa" w:w="3710"/>
            <w:vAlign w:val="center"/>
            <w:shd w:fill="FAFBFC"/>
            <w:tcMar>
              <w:top w:w="80" w:type="dxa"/>
              <w:start w:w="120" w:type="dxa"/>
              <w:bottom w:w="80" w:type="dxa"/>
              <w:end w:w="120" w:type="dxa"/>
            </w:tcMar>
          </w:tcPr>
          <w:p>
            <w:pPr>
              <w:spacing w:before="0" w:after="20" w:line="252" w:lineRule="auto"/>
              <w:jc w:val="left"/>
            </w:pPr>
            <w:r>
              <w:rPr>
                <w:color w:val="1D2733"/>
                <w:sz w:val="17"/>
              </w:rPr>
              <w:t>Standard commercial contracts and SLAs</w:t>
            </w:r>
          </w:p>
        </w:tc>
      </w:tr>
      <w:tr>
        <w:trPr>
          <w:cantSplit/>
        </w:trPr>
        <w:tc>
          <w:tcPr>
            <w:tcW w:type="dxa" w:w="1600"/>
            <w:vAlign w:val="center"/>
            <w:tcMar>
              <w:top w:w="80" w:type="dxa"/>
              <w:start w:w="120" w:type="dxa"/>
              <w:bottom w:w="80" w:type="dxa"/>
              <w:end w:w="120" w:type="dxa"/>
            </w:tcMar>
          </w:tcPr>
          <w:p>
            <w:pPr>
              <w:spacing w:before="0" w:after="20" w:line="252" w:lineRule="auto"/>
              <w:jc w:val="left"/>
            </w:pPr>
            <w:r>
              <w:rPr>
                <w:color w:val="1D2733"/>
                <w:sz w:val="17"/>
              </w:rPr>
              <w:t>Maintain</w:t>
            </w:r>
          </w:p>
        </w:tc>
        <w:tc>
          <w:tcPr>
            <w:tcW w:type="dxa" w:w="4050"/>
            <w:vAlign w:val="center"/>
            <w:tcMar>
              <w:top w:w="80" w:type="dxa"/>
              <w:start w:w="120" w:type="dxa"/>
              <w:bottom w:w="80" w:type="dxa"/>
              <w:end w:w="120" w:type="dxa"/>
            </w:tcMar>
          </w:tcPr>
          <w:p>
            <w:pPr>
              <w:spacing w:before="0" w:after="20" w:line="252" w:lineRule="auto"/>
              <w:jc w:val="left"/>
            </w:pPr>
            <w:r>
              <w:rPr>
                <w:color w:val="1D2733"/>
                <w:sz w:val="17"/>
              </w:rPr>
              <w:t>Stable product with controlled enhancements</w:t>
            </w:r>
          </w:p>
        </w:tc>
        <w:tc>
          <w:tcPr>
            <w:tcW w:type="dxa" w:w="3710"/>
            <w:vAlign w:val="center"/>
            <w:tcMar>
              <w:top w:w="80" w:type="dxa"/>
              <w:start w:w="120" w:type="dxa"/>
              <w:bottom w:w="80" w:type="dxa"/>
              <w:end w:w="120" w:type="dxa"/>
            </w:tcMar>
          </w:tcPr>
          <w:p>
            <w:pPr>
              <w:spacing w:before="0" w:after="20" w:line="252" w:lineRule="auto"/>
              <w:jc w:val="left"/>
            </w:pPr>
            <w:r>
              <w:rPr>
                <w:color w:val="1D2733"/>
                <w:sz w:val="17"/>
              </w:rPr>
              <w:t>Renewals, patches and planned upgrades</w:t>
            </w:r>
          </w:p>
        </w:tc>
      </w:tr>
      <w:tr>
        <w:trPr>
          <w:cantSplit/>
        </w:trPr>
        <w:tc>
          <w:tcPr>
            <w:tcW w:type="dxa" w:w="1600"/>
            <w:vAlign w:val="center"/>
            <w:shd w:fill="FAFBFC"/>
            <w:tcMar>
              <w:top w:w="80" w:type="dxa"/>
              <w:start w:w="120" w:type="dxa"/>
              <w:bottom w:w="80" w:type="dxa"/>
              <w:end w:w="120" w:type="dxa"/>
            </w:tcMar>
          </w:tcPr>
          <w:p>
            <w:pPr>
              <w:spacing w:before="0" w:after="20" w:line="252" w:lineRule="auto"/>
              <w:jc w:val="left"/>
            </w:pPr>
            <w:r>
              <w:rPr>
                <w:color w:val="1D2733"/>
                <w:sz w:val="17"/>
              </w:rPr>
              <w:t>Sunset</w:t>
            </w:r>
          </w:p>
        </w:tc>
        <w:tc>
          <w:tcPr>
            <w:tcW w:type="dxa" w:w="4050"/>
            <w:vAlign w:val="center"/>
            <w:shd w:fill="FAFBFC"/>
            <w:tcMar>
              <w:top w:w="80" w:type="dxa"/>
              <w:start w:w="120" w:type="dxa"/>
              <w:bottom w:w="80" w:type="dxa"/>
              <w:end w:w="120" w:type="dxa"/>
            </w:tcMar>
          </w:tcPr>
          <w:p>
            <w:pPr>
              <w:spacing w:before="0" w:after="20" w:line="252" w:lineRule="auto"/>
              <w:jc w:val="left"/>
            </w:pPr>
            <w:r>
              <w:rPr>
                <w:color w:val="1D2733"/>
                <w:sz w:val="17"/>
              </w:rPr>
              <w:t>End-of-sale/end-of-support plan with migration path</w:t>
            </w:r>
          </w:p>
        </w:tc>
        <w:tc>
          <w:tcPr>
            <w:tcW w:type="dxa" w:w="3710"/>
            <w:vAlign w:val="center"/>
            <w:shd w:fill="FAFBFC"/>
            <w:tcMar>
              <w:top w:w="80" w:type="dxa"/>
              <w:start w:w="120" w:type="dxa"/>
              <w:bottom w:w="80" w:type="dxa"/>
              <w:end w:w="120" w:type="dxa"/>
            </w:tcMar>
          </w:tcPr>
          <w:p>
            <w:pPr>
              <w:spacing w:before="0" w:after="20" w:line="252" w:lineRule="auto"/>
              <w:jc w:val="left"/>
            </w:pPr>
            <w:r>
              <w:rPr>
                <w:color w:val="1D2733"/>
                <w:sz w:val="17"/>
              </w:rPr>
              <w:t>No new commitments outside approved exception</w:t>
            </w:r>
          </w:p>
        </w:tc>
      </w:tr>
    </w:tbl>
    <w:p>
      <w:pPr>
        <w:pStyle w:val="LeadCallout"/>
      </w:pPr>
      <w:r>
        <w:rPr>
          <w:b/>
        </w:rPr>
        <w:t>CYBERSECURITY PRODUCT INTEGRATION:</w:t>
      </w:r>
      <w:r>
        <w:rPr>
          <w:b w:val="0"/>
        </w:rPr>
        <w:t xml:space="preserve"> Section 38 establishes Rihuum Sentinel AI as the shared cybersecurity control plane consuming RME identity, licensing and audit plus RIA-governed intelligence contracts. All future Rihuum products register security integrations through these contracts rather than create isolated silos.</w:t>
      </w:r>
    </w:p>
    <w:p>
      <w:pPr>
        <w:pStyle w:val="LeadCallout"/>
      </w:pPr>
      <w:r>
        <w:t>PRODUCT PORTFOLIO DECISION: The Rihuum Cybersecurity Suite is an official RME/Rihuum OS product family. Sentinel AI is the central platform; 40 defensive modules are separately licensable and may be configured into SME, Enterprise, Hospitality, Academy and Managed Detection and Response editions.</w:t>
      </w:r>
    </w:p>
    <w:p>
      <w:bookmarkStart w:id="7" w:name="sec07"/>
      <w:pPr>
        <w:pStyle w:val="Heading1"/>
        <w:keepNext/>
        <w:pageBreakBefore/>
      </w:pPr>
      <w:r>
        <w:t>SECTION 07 | Technology Architecture</w:t>
      </w:r>
      <w:bookmarkEnd w:id="7"/>
    </w:p>
    <w:p>
      <w:pPr>
        <w:pStyle w:val="LeadCallout"/>
        <w:shd w:fill="F4F6F9"/>
        <w:pBdr>
          <w:left w:val="single" w:sz="18" w:space="8" w:color="C99A2E"/>
        </w:pBdr>
      </w:pPr>
      <w:r>
        <w:rPr>
          <w:b/>
          <w:color w:val="102A43"/>
        </w:rPr>
        <w:t xml:space="preserve">Architecture choice: </w:t>
      </w:r>
      <w:r>
        <w:t>Start Rihuum Master Enterprises as a well-structured modular monolith with strict internal and external contracts. Rihuum OS and every authorised product consume those shared contracts. Do not adopt microservices as a prestige decision; extract a service only when independent scale, security isolation, availability, data ownership or team autonomy is demonstrably required.</w:t>
      </w:r>
    </w:p>
    <w:p>
      <w:pPr>
        <w:keepNext/>
        <w:jc w:val="center"/>
      </w:pPr>
      <w:r>
        <w:drawing>
          <wp:inline xmlns:a="http://schemas.openxmlformats.org/drawingml/2006/main" xmlns:pic="http://schemas.openxmlformats.org/drawingml/2006/picture">
            <wp:extent cx="5806440" cy="3999992"/>
            <wp:docPr id="3" name="Picture 3" descr="Layered diagram showing Rihuum OS experiences and business modules powered by Rihuum Master Enterprises, governed intelligence, data/integration and portable infrastructure." title="RME-powered Rihuum OS target logical architecture"/>
            <wp:cNvGraphicFramePr>
              <a:graphicFrameLocks noChangeAspect="1"/>
            </wp:cNvGraphicFramePr>
            <a:graphic>
              <a:graphicData uri="http://schemas.openxmlformats.org/drawingml/2006/picture">
                <pic:pic>
                  <pic:nvPicPr>
                    <pic:cNvPr id="0" name="rihuum-os-architecture.png"/>
                    <pic:cNvPicPr/>
                  </pic:nvPicPr>
                  <pic:blipFill>
                    <a:blip r:embed="rId16"/>
                    <a:stretch>
                      <a:fillRect/>
                    </a:stretch>
                  </pic:blipFill>
                  <pic:spPr>
                    <a:xfrm>
                      <a:off x="0" y="0"/>
                      <a:ext cx="5806440" cy="3999992"/>
                    </a:xfrm>
                    <a:prstGeom prst="rect"/>
                  </pic:spPr>
                </pic:pic>
              </a:graphicData>
            </a:graphic>
          </wp:inline>
        </w:drawing>
      </w:r>
    </w:p>
    <w:p>
      <w:pPr>
        <w:pStyle w:val="Caption"/>
        <w:jc w:val="center"/>
      </w:pPr>
      <w:r>
        <w:t>Figure 2. RME-powered Rihuum OS target logical architecture</w:t>
      </w:r>
    </w:p>
    <w:p>
      <w:pPr>
        <w:pStyle w:val="Heading2"/>
      </w:pPr>
      <w:r>
        <w:t>RME platform contracts</w:t>
      </w:r>
    </w:p>
    <w:p>
      <w:pPr>
        <w:pStyle w:val="Caption"/>
      </w:pPr>
      <w:r>
        <w:t>Table 14. Shared enterprise contracts required across every product</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900"/>
        <w:gridCol w:w="3940"/>
        <w:gridCol w:w="3520"/>
      </w:tblGrid>
      <w:tr>
        <w:trPr>
          <w:tblHeader w:val="true"/>
          <w:cantSplit/>
        </w:trPr>
        <w:tc>
          <w:tcPr>
            <w:tcW w:type="dxa" w:w="1900"/>
            <w:vAlign w:val="center"/>
            <w:shd w:fill="F2F4F7"/>
            <w:tcMar>
              <w:top w:w="80" w:type="dxa"/>
              <w:start w:w="120" w:type="dxa"/>
              <w:bottom w:w="80" w:type="dxa"/>
              <w:end w:w="120" w:type="dxa"/>
            </w:tcMar>
          </w:tcPr>
          <w:p>
            <w:pPr>
              <w:spacing w:before="0" w:after="0"/>
              <w:jc w:val="center"/>
            </w:pPr>
            <w:r>
              <w:rPr>
                <w:b/>
                <w:color w:val="102A43"/>
                <w:sz w:val="17"/>
              </w:rPr>
              <w:t>Capability</w:t>
            </w:r>
          </w:p>
        </w:tc>
        <w:tc>
          <w:tcPr>
            <w:tcW w:type="dxa" w:w="3940"/>
            <w:vAlign w:val="center"/>
            <w:shd w:fill="F2F4F7"/>
            <w:tcMar>
              <w:top w:w="80" w:type="dxa"/>
              <w:start w:w="120" w:type="dxa"/>
              <w:bottom w:w="80" w:type="dxa"/>
              <w:end w:w="120" w:type="dxa"/>
            </w:tcMar>
          </w:tcPr>
          <w:p>
            <w:pPr>
              <w:spacing w:before="0" w:after="0"/>
              <w:jc w:val="center"/>
            </w:pPr>
            <w:r>
              <w:rPr>
                <w:b/>
                <w:color w:val="102A43"/>
                <w:sz w:val="17"/>
              </w:rPr>
              <w:t>Shared contract</w:t>
            </w:r>
          </w:p>
        </w:tc>
        <w:tc>
          <w:tcPr>
            <w:tcW w:type="dxa" w:w="3520"/>
            <w:vAlign w:val="center"/>
            <w:shd w:fill="F2F4F7"/>
            <w:tcMar>
              <w:top w:w="80" w:type="dxa"/>
              <w:start w:w="120" w:type="dxa"/>
              <w:bottom w:w="80" w:type="dxa"/>
              <w:end w:w="120" w:type="dxa"/>
            </w:tcMar>
          </w:tcPr>
          <w:p>
            <w:pPr>
              <w:spacing w:before="0" w:after="0"/>
              <w:jc w:val="center"/>
            </w:pPr>
            <w:r>
              <w:rPr>
                <w:b/>
                <w:color w:val="102A43"/>
                <w:sz w:val="17"/>
              </w:rPr>
              <w:t>Mandatory rule</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Identity and tenancy</w:t>
            </w:r>
          </w:p>
        </w:tc>
        <w:tc>
          <w:tcPr>
            <w:tcW w:type="dxa" w:w="3940"/>
            <w:vAlign w:val="center"/>
            <w:tcMar>
              <w:top w:w="80" w:type="dxa"/>
              <w:start w:w="120" w:type="dxa"/>
              <w:bottom w:w="80" w:type="dxa"/>
              <w:end w:w="120" w:type="dxa"/>
            </w:tcMar>
          </w:tcPr>
          <w:p>
            <w:pPr>
              <w:spacing w:before="0" w:after="20" w:line="252" w:lineRule="auto"/>
              <w:jc w:val="left"/>
            </w:pPr>
            <w:r>
              <w:rPr>
                <w:color w:val="1D2733"/>
                <w:sz w:val="16"/>
              </w:rPr>
              <w:t>Users, organisations, roles, policy, sessions, SSO and delegated administration</w:t>
            </w:r>
          </w:p>
        </w:tc>
        <w:tc>
          <w:tcPr>
            <w:tcW w:type="dxa" w:w="3520"/>
            <w:vAlign w:val="center"/>
            <w:tcMar>
              <w:top w:w="80" w:type="dxa"/>
              <w:start w:w="120" w:type="dxa"/>
              <w:bottom w:w="80" w:type="dxa"/>
              <w:end w:w="120" w:type="dxa"/>
            </w:tcMar>
          </w:tcPr>
          <w:p>
            <w:pPr>
              <w:spacing w:before="0" w:after="20" w:line="252" w:lineRule="auto"/>
              <w:jc w:val="left"/>
            </w:pPr>
            <w:r>
              <w:rPr>
                <w:color w:val="1D2733"/>
                <w:sz w:val="16"/>
              </w:rPr>
              <w:t>Every request and record resolves an authenticated actor, tenant, purpose and authority.</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Master records</w:t>
            </w:r>
          </w:p>
        </w:tc>
        <w:tc>
          <w:tcPr>
            <w:tcW w:type="dxa" w:w="3940"/>
            <w:vAlign w:val="center"/>
            <w:shd w:fill="FAFBFC"/>
            <w:tcMar>
              <w:top w:w="80" w:type="dxa"/>
              <w:start w:w="120" w:type="dxa"/>
              <w:bottom w:w="80" w:type="dxa"/>
              <w:end w:w="120" w:type="dxa"/>
            </w:tcMar>
          </w:tcPr>
          <w:p>
            <w:pPr>
              <w:spacing w:before="0" w:after="20" w:line="252" w:lineRule="auto"/>
              <w:jc w:val="left"/>
            </w:pPr>
            <w:r>
              <w:rPr>
                <w:color w:val="1D2733"/>
                <w:sz w:val="16"/>
              </w:rPr>
              <w:t>Customers, people, sites, assets, products, catalogues and stable identifiers</w:t>
            </w:r>
          </w:p>
        </w:tc>
        <w:tc>
          <w:tcPr>
            <w:tcW w:type="dxa" w:w="3520"/>
            <w:vAlign w:val="center"/>
            <w:shd w:fill="FAFBFC"/>
            <w:tcMar>
              <w:top w:w="80" w:type="dxa"/>
              <w:start w:w="120" w:type="dxa"/>
              <w:bottom w:w="80" w:type="dxa"/>
              <w:end w:w="120" w:type="dxa"/>
            </w:tcMar>
          </w:tcPr>
          <w:p>
            <w:pPr>
              <w:spacing w:before="0" w:after="20" w:line="252" w:lineRule="auto"/>
              <w:jc w:val="left"/>
            </w:pPr>
            <w:r>
              <w:rPr>
                <w:color w:val="1D2733"/>
                <w:sz w:val="16"/>
              </w:rPr>
              <w:t>A product references governed records; it does not create incompatible duplicates without an approved mapping.</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Workflow and events</w:t>
            </w:r>
          </w:p>
        </w:tc>
        <w:tc>
          <w:tcPr>
            <w:tcW w:type="dxa" w:w="3940"/>
            <w:vAlign w:val="center"/>
            <w:tcMar>
              <w:top w:w="80" w:type="dxa"/>
              <w:start w:w="120" w:type="dxa"/>
              <w:bottom w:w="80" w:type="dxa"/>
              <w:end w:w="120" w:type="dxa"/>
            </w:tcMar>
          </w:tcPr>
          <w:p>
            <w:pPr>
              <w:spacing w:before="0" w:after="20" w:line="252" w:lineRule="auto"/>
              <w:jc w:val="left"/>
            </w:pPr>
            <w:r>
              <w:rPr>
                <w:color w:val="1D2733"/>
                <w:sz w:val="16"/>
              </w:rPr>
              <w:t>States, tasks, approvals, notifications, jobs and domain events</w:t>
            </w:r>
          </w:p>
        </w:tc>
        <w:tc>
          <w:tcPr>
            <w:tcW w:type="dxa" w:w="3520"/>
            <w:vAlign w:val="center"/>
            <w:tcMar>
              <w:top w:w="80" w:type="dxa"/>
              <w:start w:w="120" w:type="dxa"/>
              <w:bottom w:w="80" w:type="dxa"/>
              <w:end w:w="120" w:type="dxa"/>
            </w:tcMar>
          </w:tcPr>
          <w:p>
            <w:pPr>
              <w:spacing w:before="0" w:after="20" w:line="252" w:lineRule="auto"/>
              <w:jc w:val="left"/>
            </w:pPr>
            <w:r>
              <w:rPr>
                <w:color w:val="1D2733"/>
                <w:sz w:val="16"/>
              </w:rPr>
              <w:t>Effects are idempotent, traceable and safe to retry or compensate.</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Commercial controls</w:t>
            </w:r>
          </w:p>
        </w:tc>
        <w:tc>
          <w:tcPr>
            <w:tcW w:type="dxa" w:w="3940"/>
            <w:vAlign w:val="center"/>
            <w:shd w:fill="FAFBFC"/>
            <w:tcMar>
              <w:top w:w="80" w:type="dxa"/>
              <w:start w:w="120" w:type="dxa"/>
              <w:bottom w:w="80" w:type="dxa"/>
              <w:end w:w="120" w:type="dxa"/>
            </w:tcMar>
          </w:tcPr>
          <w:p>
            <w:pPr>
              <w:spacing w:before="0" w:after="20" w:line="252" w:lineRule="auto"/>
              <w:jc w:val="left"/>
            </w:pPr>
            <w:r>
              <w:rPr>
                <w:color w:val="1D2733"/>
                <w:sz w:val="16"/>
              </w:rPr>
              <w:t>Plans, prices, subscriptions, licences, entitlements, usage and invoices</w:t>
            </w:r>
          </w:p>
        </w:tc>
        <w:tc>
          <w:tcPr>
            <w:tcW w:type="dxa" w:w="3520"/>
            <w:vAlign w:val="center"/>
            <w:shd w:fill="FAFBFC"/>
            <w:tcMar>
              <w:top w:w="80" w:type="dxa"/>
              <w:start w:w="120" w:type="dxa"/>
              <w:bottom w:w="80" w:type="dxa"/>
              <w:end w:w="120" w:type="dxa"/>
            </w:tcMar>
          </w:tcPr>
          <w:p>
            <w:pPr>
              <w:spacing w:before="0" w:after="20" w:line="252" w:lineRule="auto"/>
              <w:jc w:val="left"/>
            </w:pPr>
            <w:r>
              <w:rPr>
                <w:color w:val="1D2733"/>
                <w:sz w:val="16"/>
              </w:rPr>
              <w:t>Access follows approved entitlement and contract state; finance remains reconcilable.</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Audit and support</w:t>
            </w:r>
          </w:p>
        </w:tc>
        <w:tc>
          <w:tcPr>
            <w:tcW w:type="dxa" w:w="3940"/>
            <w:vAlign w:val="center"/>
            <w:tcMar>
              <w:top w:w="80" w:type="dxa"/>
              <w:start w:w="120" w:type="dxa"/>
              <w:bottom w:w="80" w:type="dxa"/>
              <w:end w:w="120" w:type="dxa"/>
            </w:tcMar>
          </w:tcPr>
          <w:p>
            <w:pPr>
              <w:spacing w:before="0" w:after="20" w:line="252" w:lineRule="auto"/>
              <w:jc w:val="left"/>
            </w:pPr>
            <w:r>
              <w:rPr>
                <w:color w:val="1D2733"/>
                <w:sz w:val="16"/>
              </w:rPr>
              <w:t>Immutable audit events, consent/evidence, tickets, incidents and service history</w:t>
            </w:r>
          </w:p>
        </w:tc>
        <w:tc>
          <w:tcPr>
            <w:tcW w:type="dxa" w:w="3520"/>
            <w:vAlign w:val="center"/>
            <w:tcMar>
              <w:top w:w="80" w:type="dxa"/>
              <w:start w:w="120" w:type="dxa"/>
              <w:bottom w:w="80" w:type="dxa"/>
              <w:end w:w="120" w:type="dxa"/>
            </w:tcMar>
          </w:tcPr>
          <w:p>
            <w:pPr>
              <w:spacing w:before="0" w:after="20" w:line="252" w:lineRule="auto"/>
              <w:jc w:val="left"/>
            </w:pPr>
            <w:r>
              <w:rPr>
                <w:color w:val="1D2733"/>
                <w:sz w:val="16"/>
              </w:rPr>
              <w:t>Material user, system and AI actions are attributable and reviewable.</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Integration</w:t>
            </w:r>
          </w:p>
        </w:tc>
        <w:tc>
          <w:tcPr>
            <w:tcW w:type="dxa" w:w="3940"/>
            <w:vAlign w:val="center"/>
            <w:shd w:fill="FAFBFC"/>
            <w:tcMar>
              <w:top w:w="80" w:type="dxa"/>
              <w:start w:w="120" w:type="dxa"/>
              <w:bottom w:w="80" w:type="dxa"/>
              <w:end w:w="120" w:type="dxa"/>
            </w:tcMar>
          </w:tcPr>
          <w:p>
            <w:pPr>
              <w:spacing w:before="0" w:after="20" w:line="252" w:lineRule="auto"/>
              <w:jc w:val="left"/>
            </w:pPr>
            <w:r>
              <w:rPr>
                <w:color w:val="1D2733"/>
                <w:sz w:val="16"/>
              </w:rPr>
              <w:t>Versioned APIs, webhooks, adapters, schemas and event catalogue</w:t>
            </w:r>
          </w:p>
        </w:tc>
        <w:tc>
          <w:tcPr>
            <w:tcW w:type="dxa" w:w="3520"/>
            <w:vAlign w:val="center"/>
            <w:shd w:fill="FAFBFC"/>
            <w:tcMar>
              <w:top w:w="80" w:type="dxa"/>
              <w:start w:w="120" w:type="dxa"/>
              <w:bottom w:w="80" w:type="dxa"/>
              <w:end w:w="120" w:type="dxa"/>
            </w:tcMar>
          </w:tcPr>
          <w:p>
            <w:pPr>
              <w:spacing w:before="0" w:after="20" w:line="252" w:lineRule="auto"/>
              <w:jc w:val="left"/>
            </w:pPr>
            <w:r>
              <w:rPr>
                <w:color w:val="1D2733"/>
                <w:sz w:val="16"/>
              </w:rPr>
              <w:t>No direct database coupling between products or unmanaged third-party credentials.</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Product lifecycle</w:t>
            </w:r>
          </w:p>
        </w:tc>
        <w:tc>
          <w:tcPr>
            <w:tcW w:type="dxa" w:w="3940"/>
            <w:vAlign w:val="center"/>
            <w:tcMar>
              <w:top w:w="80" w:type="dxa"/>
              <w:start w:w="120" w:type="dxa"/>
              <w:bottom w:w="80" w:type="dxa"/>
              <w:end w:w="120" w:type="dxa"/>
            </w:tcMar>
          </w:tcPr>
          <w:p>
            <w:pPr>
              <w:spacing w:before="0" w:after="20" w:line="252" w:lineRule="auto"/>
              <w:jc w:val="left"/>
            </w:pPr>
            <w:r>
              <w:rPr>
                <w:color w:val="1D2733"/>
                <w:sz w:val="16"/>
              </w:rPr>
              <w:t>Product/module registry, configuration, feature flags, release and compatibility records</w:t>
            </w:r>
          </w:p>
        </w:tc>
        <w:tc>
          <w:tcPr>
            <w:tcW w:type="dxa" w:w="3520"/>
            <w:vAlign w:val="center"/>
            <w:tcMar>
              <w:top w:w="80" w:type="dxa"/>
              <w:start w:w="120" w:type="dxa"/>
              <w:bottom w:w="80" w:type="dxa"/>
              <w:end w:w="120" w:type="dxa"/>
            </w:tcMar>
          </w:tcPr>
          <w:p>
            <w:pPr>
              <w:spacing w:before="0" w:after="20" w:line="252" w:lineRule="auto"/>
              <w:jc w:val="left"/>
            </w:pPr>
            <w:r>
              <w:rPr>
                <w:color w:val="1D2733"/>
                <w:sz w:val="16"/>
              </w:rPr>
              <w:t>Every deployed module declares owner, version, dependencies, support state and migration path.</w:t>
            </w:r>
          </w:p>
        </w:tc>
      </w:tr>
    </w:tbl>
    <w:p>
      <w:pPr>
        <w:pStyle w:val="Heading2"/>
      </w:pPr>
      <w:r>
        <w:t>Architecture principles</w:t>
      </w:r>
    </w:p>
    <w:p>
      <w:pPr>
        <w:pStyle w:val="ListBullet"/>
        <w:keepLines/>
      </w:pPr>
      <w:r>
        <w:rPr>
          <w:b/>
        </w:rPr>
        <w:t xml:space="preserve">Secure and private by design: </w:t>
      </w:r>
      <w:r>
        <w:t>Threat modelling, least privilege, safe defaults, minimised data, encrypted transport, audited actions and tested recovery.</w:t>
      </w:r>
    </w:p>
    <w:p>
      <w:pPr>
        <w:pStyle w:val="ListBullet"/>
        <w:keepLines/>
      </w:pPr>
      <w:r>
        <w:rPr>
          <w:b/>
        </w:rPr>
        <w:t xml:space="preserve">Modular before distributed: </w:t>
      </w:r>
      <w:r>
        <w:t>Clear bounded modules, dependency direction and interfaces inside one deployable unit before service extraction.</w:t>
      </w:r>
    </w:p>
    <w:p>
      <w:pPr>
        <w:pStyle w:val="ListBullet"/>
        <w:keepLines/>
      </w:pPr>
      <w:r>
        <w:rPr>
          <w:b/>
        </w:rPr>
        <w:t xml:space="preserve">API and event ready: </w:t>
      </w:r>
      <w:r>
        <w:t>Documented interfaces and stable identifiers; asynchronous patterns only where they improve reliability or isolation.</w:t>
      </w:r>
    </w:p>
    <w:p>
      <w:pPr>
        <w:pStyle w:val="ListBullet"/>
        <w:keepLines/>
      </w:pPr>
      <w:r>
        <w:rPr>
          <w:b/>
        </w:rPr>
        <w:t xml:space="preserve">Tenant aware: </w:t>
      </w:r>
      <w:r>
        <w:t>RME-enforced organisation-scoped identity, authorisation, data access, configuration, billing, audit and exports from the first schema.</w:t>
      </w:r>
    </w:p>
    <w:p>
      <w:pPr>
        <w:pStyle w:val="ListBullet"/>
        <w:keepLines/>
      </w:pPr>
      <w:r>
        <w:rPr>
          <w:b/>
        </w:rPr>
        <w:t xml:space="preserve">Portable: </w:t>
      </w:r>
      <w:r>
        <w:t>Configuration outside code; storage, email, payment, AI and hosting adapters; repeatable builds and migrations.</w:t>
      </w:r>
    </w:p>
    <w:p>
      <w:pPr>
        <w:pStyle w:val="ListBullet"/>
        <w:keepLines/>
      </w:pPr>
      <w:r>
        <w:rPr>
          <w:b/>
        </w:rPr>
        <w:t xml:space="preserve">Observable: </w:t>
      </w:r>
      <w:r>
        <w:t>Structured logs, metrics, traces where feasible, audit records, health checks and service-level indicators.</w:t>
      </w:r>
    </w:p>
    <w:p>
      <w:pPr>
        <w:pStyle w:val="ListBullet"/>
        <w:keepLines/>
      </w:pPr>
      <w:r>
        <w:rPr>
          <w:b/>
        </w:rPr>
        <w:t xml:space="preserve">Accessible and responsive: </w:t>
      </w:r>
      <w:r>
        <w:t>Mobile-first responsive experiences, keyboard support, semantic structure, readable content and tested assistive-technology paths.</w:t>
      </w:r>
    </w:p>
    <w:p>
      <w:pPr>
        <w:pStyle w:val="ListBullet"/>
        <w:keepLines/>
      </w:pPr>
      <w:r>
        <w:rPr>
          <w:b/>
        </w:rPr>
        <w:t xml:space="preserve">Replaceable intelligence: </w:t>
      </w:r>
      <w:r>
        <w:t>Models and providers sit behind an approved gateway; business rules and source data are not trapped in prompts.</w:t>
      </w:r>
    </w:p>
    <w:p>
      <w:pPr>
        <w:pStyle w:val="Heading2"/>
      </w:pPr>
      <w:r>
        <w:t>Initial deployable architecture</w:t>
      </w:r>
    </w:p>
    <w:p>
      <w:pPr>
        <w:pStyle w:val="Caption"/>
      </w:pPr>
      <w:r>
        <w:t>Table 15. Foundation components and migration contracts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700"/>
        <w:gridCol w:w="3820"/>
        <w:gridCol w:w="3840"/>
      </w:tblGrid>
      <w:tr>
        <w:trPr>
          <w:tblHeader w:val="true"/>
          <w:cantSplit/>
        </w:trPr>
        <w:tc>
          <w:tcPr>
            <w:tcW w:type="dxa" w:w="1700"/>
            <w:vAlign w:val="center"/>
            <w:shd w:fill="F2F4F7"/>
            <w:tcMar>
              <w:top w:w="80" w:type="dxa"/>
              <w:start w:w="120" w:type="dxa"/>
              <w:bottom w:w="80" w:type="dxa"/>
              <w:end w:w="120" w:type="dxa"/>
            </w:tcMar>
          </w:tcPr>
          <w:p>
            <w:pPr>
              <w:spacing w:before="0" w:after="0"/>
              <w:jc w:val="center"/>
            </w:pPr>
            <w:r>
              <w:rPr>
                <w:b/>
                <w:color w:val="102A43"/>
                <w:sz w:val="17"/>
              </w:rPr>
              <w:t>Capability</w:t>
            </w:r>
          </w:p>
        </w:tc>
        <w:tc>
          <w:tcPr>
            <w:tcW w:type="dxa" w:w="3820"/>
            <w:vAlign w:val="center"/>
            <w:shd w:fill="F2F4F7"/>
            <w:tcMar>
              <w:top w:w="80" w:type="dxa"/>
              <w:start w:w="120" w:type="dxa"/>
              <w:bottom w:w="80" w:type="dxa"/>
              <w:end w:w="120" w:type="dxa"/>
            </w:tcMar>
          </w:tcPr>
          <w:p>
            <w:pPr>
              <w:spacing w:before="0" w:after="0"/>
              <w:jc w:val="left"/>
            </w:pPr>
            <w:r>
              <w:rPr>
                <w:b/>
                <w:color w:val="102A43"/>
                <w:sz w:val="17"/>
              </w:rPr>
              <w:t>Shared-hosting implementation</w:t>
            </w:r>
          </w:p>
        </w:tc>
        <w:tc>
          <w:tcPr>
            <w:tcW w:type="dxa" w:w="3840"/>
            <w:vAlign w:val="center"/>
            <w:shd w:fill="F2F4F7"/>
            <w:tcMar>
              <w:top w:w="80" w:type="dxa"/>
              <w:start w:w="120" w:type="dxa"/>
              <w:bottom w:w="80" w:type="dxa"/>
              <w:end w:w="120" w:type="dxa"/>
            </w:tcMar>
          </w:tcPr>
          <w:p>
            <w:pPr>
              <w:spacing w:before="0" w:after="0"/>
              <w:jc w:val="left"/>
            </w:pPr>
            <w:r>
              <w:rPr>
                <w:b/>
                <w:color w:val="102A43"/>
                <w:sz w:val="17"/>
              </w:rPr>
              <w:t>Migration-ready contract</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6"/>
              </w:rPr>
              <w:t>Web/application</w:t>
            </w:r>
          </w:p>
        </w:tc>
        <w:tc>
          <w:tcPr>
            <w:tcW w:type="dxa" w:w="3820"/>
            <w:vAlign w:val="center"/>
            <w:tcMar>
              <w:top w:w="80" w:type="dxa"/>
              <w:start w:w="120" w:type="dxa"/>
              <w:bottom w:w="80" w:type="dxa"/>
              <w:end w:w="120" w:type="dxa"/>
            </w:tcMar>
          </w:tcPr>
          <w:p>
            <w:pPr>
              <w:spacing w:before="0" w:after="20" w:line="252" w:lineRule="auto"/>
              <w:jc w:val="left"/>
            </w:pPr>
            <w:r>
              <w:rPr>
                <w:color w:val="1D2733"/>
                <w:sz w:val="16"/>
              </w:rPr>
              <w:t>Server-rendered, responsive PHP application using the hosting plan's supported runtime; static assets via CDN where available</w:t>
            </w:r>
          </w:p>
        </w:tc>
        <w:tc>
          <w:tcPr>
            <w:tcW w:type="dxa" w:w="3840"/>
            <w:vAlign w:val="center"/>
            <w:tcMar>
              <w:top w:w="80" w:type="dxa"/>
              <w:start w:w="120" w:type="dxa"/>
              <w:bottom w:w="80" w:type="dxa"/>
              <w:end w:w="120" w:type="dxa"/>
            </w:tcMar>
          </w:tcPr>
          <w:p>
            <w:pPr>
              <w:spacing w:before="0" w:after="20" w:line="252" w:lineRule="auto"/>
              <w:jc w:val="left"/>
            </w:pPr>
            <w:r>
              <w:rPr>
                <w:color w:val="1D2733"/>
                <w:sz w:val="16"/>
              </w:rPr>
              <w:t>Container-ready build, stateless request handling and environment configuration</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6"/>
              </w:rPr>
              <w:t>Database</w:t>
            </w:r>
          </w:p>
        </w:tc>
        <w:tc>
          <w:tcPr>
            <w:tcW w:type="dxa" w:w="3820"/>
            <w:vAlign w:val="center"/>
            <w:shd w:fill="FAFBFC"/>
            <w:tcMar>
              <w:top w:w="80" w:type="dxa"/>
              <w:start w:w="120" w:type="dxa"/>
              <w:bottom w:w="80" w:type="dxa"/>
              <w:end w:w="120" w:type="dxa"/>
            </w:tcMar>
          </w:tcPr>
          <w:p>
            <w:pPr>
              <w:spacing w:before="0" w:after="20" w:line="252" w:lineRule="auto"/>
              <w:jc w:val="left"/>
            </w:pPr>
            <w:r>
              <w:rPr>
                <w:color w:val="1D2733"/>
                <w:sz w:val="16"/>
              </w:rPr>
              <w:t>Separate MySQL/MariaDB databases for staging and production</w:t>
            </w:r>
          </w:p>
        </w:tc>
        <w:tc>
          <w:tcPr>
            <w:tcW w:type="dxa" w:w="3840"/>
            <w:vAlign w:val="center"/>
            <w:shd w:fill="FAFBFC"/>
            <w:tcMar>
              <w:top w:w="80" w:type="dxa"/>
              <w:start w:w="120" w:type="dxa"/>
              <w:bottom w:w="80" w:type="dxa"/>
              <w:end w:w="120" w:type="dxa"/>
            </w:tcMar>
          </w:tcPr>
          <w:p>
            <w:pPr>
              <w:spacing w:before="0" w:after="20" w:line="252" w:lineRule="auto"/>
              <w:jc w:val="left"/>
            </w:pPr>
            <w:r>
              <w:rPr>
                <w:color w:val="1D2733"/>
                <w:sz w:val="16"/>
              </w:rPr>
              <w:t>Versioned migrations, portable SQL patterns, exports and data-access layer</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6"/>
              </w:rPr>
              <w:t>Jobs</w:t>
            </w:r>
          </w:p>
        </w:tc>
        <w:tc>
          <w:tcPr>
            <w:tcW w:type="dxa" w:w="3820"/>
            <w:vAlign w:val="center"/>
            <w:tcMar>
              <w:top w:w="80" w:type="dxa"/>
              <w:start w:w="120" w:type="dxa"/>
              <w:bottom w:w="80" w:type="dxa"/>
              <w:end w:w="120" w:type="dxa"/>
            </w:tcMar>
          </w:tcPr>
          <w:p>
            <w:pPr>
              <w:spacing w:before="0" w:after="20" w:line="252" w:lineRule="auto"/>
              <w:jc w:val="left"/>
            </w:pPr>
            <w:r>
              <w:rPr>
                <w:color w:val="1D2733"/>
                <w:sz w:val="16"/>
              </w:rPr>
              <w:t>Cron-driven database job queue with idempotent workers</w:t>
            </w:r>
          </w:p>
        </w:tc>
        <w:tc>
          <w:tcPr>
            <w:tcW w:type="dxa" w:w="3840"/>
            <w:vAlign w:val="center"/>
            <w:tcMar>
              <w:top w:w="80" w:type="dxa"/>
              <w:start w:w="120" w:type="dxa"/>
              <w:bottom w:w="80" w:type="dxa"/>
              <w:end w:w="120" w:type="dxa"/>
            </w:tcMar>
          </w:tcPr>
          <w:p>
            <w:pPr>
              <w:spacing w:before="0" w:after="20" w:line="252" w:lineRule="auto"/>
              <w:jc w:val="left"/>
            </w:pPr>
            <w:r>
              <w:rPr>
                <w:color w:val="1D2733"/>
                <w:sz w:val="16"/>
              </w:rPr>
              <w:t>Queue interface that can move to Redis or managed messaging</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6"/>
              </w:rPr>
              <w:t>Files</w:t>
            </w:r>
          </w:p>
        </w:tc>
        <w:tc>
          <w:tcPr>
            <w:tcW w:type="dxa" w:w="3820"/>
            <w:vAlign w:val="center"/>
            <w:shd w:fill="FAFBFC"/>
            <w:tcMar>
              <w:top w:w="80" w:type="dxa"/>
              <w:start w:w="120" w:type="dxa"/>
              <w:bottom w:w="80" w:type="dxa"/>
              <w:end w:w="120" w:type="dxa"/>
            </w:tcMar>
          </w:tcPr>
          <w:p>
            <w:pPr>
              <w:spacing w:before="0" w:after="20" w:line="252" w:lineRule="auto"/>
              <w:jc w:val="left"/>
            </w:pPr>
            <w:r>
              <w:rPr>
                <w:color w:val="1D2733"/>
                <w:sz w:val="16"/>
              </w:rPr>
              <w:t>Protected local storage outside public paths; controlled downloads</w:t>
            </w:r>
          </w:p>
        </w:tc>
        <w:tc>
          <w:tcPr>
            <w:tcW w:type="dxa" w:w="3840"/>
            <w:vAlign w:val="center"/>
            <w:shd w:fill="FAFBFC"/>
            <w:tcMar>
              <w:top w:w="80" w:type="dxa"/>
              <w:start w:w="120" w:type="dxa"/>
              <w:bottom w:w="80" w:type="dxa"/>
              <w:end w:w="120" w:type="dxa"/>
            </w:tcMar>
          </w:tcPr>
          <w:p>
            <w:pPr>
              <w:spacing w:before="0" w:after="20" w:line="252" w:lineRule="auto"/>
              <w:jc w:val="left"/>
            </w:pPr>
            <w:r>
              <w:rPr>
                <w:color w:val="1D2733"/>
                <w:sz w:val="16"/>
              </w:rPr>
              <w:t>Storage adapter supporting S3-compatible object storage and lifecycle rules</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6"/>
              </w:rPr>
              <w:t>Email/SMS</w:t>
            </w:r>
          </w:p>
        </w:tc>
        <w:tc>
          <w:tcPr>
            <w:tcW w:type="dxa" w:w="3820"/>
            <w:vAlign w:val="center"/>
            <w:tcMar>
              <w:top w:w="80" w:type="dxa"/>
              <w:start w:w="120" w:type="dxa"/>
              <w:bottom w:w="80" w:type="dxa"/>
              <w:end w:w="120" w:type="dxa"/>
            </w:tcMar>
          </w:tcPr>
          <w:p>
            <w:pPr>
              <w:spacing w:before="0" w:after="20" w:line="252" w:lineRule="auto"/>
              <w:jc w:val="left"/>
            </w:pPr>
            <w:r>
              <w:rPr>
                <w:color w:val="1D2733"/>
                <w:sz w:val="16"/>
              </w:rPr>
              <w:t>Approved external providers through adapters</w:t>
            </w:r>
          </w:p>
        </w:tc>
        <w:tc>
          <w:tcPr>
            <w:tcW w:type="dxa" w:w="3840"/>
            <w:vAlign w:val="center"/>
            <w:tcMar>
              <w:top w:w="80" w:type="dxa"/>
              <w:start w:w="120" w:type="dxa"/>
              <w:bottom w:w="80" w:type="dxa"/>
              <w:end w:w="120" w:type="dxa"/>
            </w:tcMar>
          </w:tcPr>
          <w:p>
            <w:pPr>
              <w:spacing w:before="0" w:after="20" w:line="252" w:lineRule="auto"/>
              <w:jc w:val="left"/>
            </w:pPr>
            <w:r>
              <w:rPr>
                <w:color w:val="1D2733"/>
                <w:sz w:val="16"/>
              </w:rPr>
              <w:t>Provider-neutral notification service, templates and delivery logs</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6"/>
              </w:rPr>
              <w:t>Payments</w:t>
            </w:r>
          </w:p>
        </w:tc>
        <w:tc>
          <w:tcPr>
            <w:tcW w:type="dxa" w:w="3820"/>
            <w:vAlign w:val="center"/>
            <w:shd w:fill="FAFBFC"/>
            <w:tcMar>
              <w:top w:w="80" w:type="dxa"/>
              <w:start w:w="120" w:type="dxa"/>
              <w:bottom w:w="80" w:type="dxa"/>
              <w:end w:w="120" w:type="dxa"/>
            </w:tcMar>
          </w:tcPr>
          <w:p>
            <w:pPr>
              <w:spacing w:before="0" w:after="20" w:line="252" w:lineRule="auto"/>
              <w:jc w:val="left"/>
            </w:pPr>
            <w:r>
              <w:rPr>
                <w:color w:val="1D2733"/>
                <w:sz w:val="16"/>
              </w:rPr>
              <w:t>Hosted checkout/API from licensed payment service providers</w:t>
            </w:r>
          </w:p>
        </w:tc>
        <w:tc>
          <w:tcPr>
            <w:tcW w:type="dxa" w:w="3840"/>
            <w:vAlign w:val="center"/>
            <w:shd w:fill="FAFBFC"/>
            <w:tcMar>
              <w:top w:w="80" w:type="dxa"/>
              <w:start w:w="120" w:type="dxa"/>
              <w:bottom w:w="80" w:type="dxa"/>
              <w:end w:w="120" w:type="dxa"/>
            </w:tcMar>
          </w:tcPr>
          <w:p>
            <w:pPr>
              <w:spacing w:before="0" w:after="20" w:line="252" w:lineRule="auto"/>
              <w:jc w:val="left"/>
            </w:pPr>
            <w:r>
              <w:rPr>
                <w:color w:val="1D2733"/>
                <w:sz w:val="16"/>
              </w:rPr>
              <w:t>Payment adapter, webhook verification, reconciliation and no storage of prohibited card data</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6"/>
              </w:rPr>
              <w:t>AI</w:t>
            </w:r>
          </w:p>
        </w:tc>
        <w:tc>
          <w:tcPr>
            <w:tcW w:type="dxa" w:w="3820"/>
            <w:vAlign w:val="center"/>
            <w:tcMar>
              <w:top w:w="80" w:type="dxa"/>
              <w:start w:w="120" w:type="dxa"/>
              <w:bottom w:w="80" w:type="dxa"/>
              <w:end w:w="120" w:type="dxa"/>
            </w:tcMar>
          </w:tcPr>
          <w:p>
            <w:pPr>
              <w:spacing w:before="0" w:after="20" w:line="252" w:lineRule="auto"/>
              <w:jc w:val="left"/>
            </w:pPr>
            <w:r>
              <w:rPr>
                <w:color w:val="1D2733"/>
                <w:sz w:val="16"/>
              </w:rPr>
              <w:t>External model services through RIA gateway using RME identity, tenancy, data and approval context; no direct model calls from business modules</w:t>
            </w:r>
          </w:p>
        </w:tc>
        <w:tc>
          <w:tcPr>
            <w:tcW w:type="dxa" w:w="3840"/>
            <w:vAlign w:val="center"/>
            <w:tcMar>
              <w:top w:w="80" w:type="dxa"/>
              <w:start w:w="120" w:type="dxa"/>
              <w:bottom w:w="80" w:type="dxa"/>
              <w:end w:w="120" w:type="dxa"/>
            </w:tcMar>
          </w:tcPr>
          <w:p>
            <w:pPr>
              <w:spacing w:before="0" w:after="20" w:line="252" w:lineRule="auto"/>
              <w:jc w:val="left"/>
            </w:pPr>
            <w:r>
              <w:rPr>
                <w:color w:val="1D2733"/>
                <w:sz w:val="16"/>
              </w:rPr>
              <w:t>Multi-provider routing, private models later, policy/evaluation layer and RME controls retained</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6"/>
              </w:rPr>
              <w:t>Monitoring</w:t>
            </w:r>
          </w:p>
        </w:tc>
        <w:tc>
          <w:tcPr>
            <w:tcW w:type="dxa" w:w="3820"/>
            <w:vAlign w:val="center"/>
            <w:shd w:fill="FAFBFC"/>
            <w:tcMar>
              <w:top w:w="80" w:type="dxa"/>
              <w:start w:w="120" w:type="dxa"/>
              <w:bottom w:w="80" w:type="dxa"/>
              <w:end w:w="120" w:type="dxa"/>
            </w:tcMar>
          </w:tcPr>
          <w:p>
            <w:pPr>
              <w:spacing w:before="0" w:after="20" w:line="252" w:lineRule="auto"/>
              <w:jc w:val="left"/>
            </w:pPr>
            <w:r>
              <w:rPr>
                <w:color w:val="1D2733"/>
                <w:sz w:val="16"/>
              </w:rPr>
              <w:t>External uptime checks plus structured application/error/audit logs</w:t>
            </w:r>
          </w:p>
        </w:tc>
        <w:tc>
          <w:tcPr>
            <w:tcW w:type="dxa" w:w="3840"/>
            <w:vAlign w:val="center"/>
            <w:shd w:fill="FAFBFC"/>
            <w:tcMar>
              <w:top w:w="80" w:type="dxa"/>
              <w:start w:w="120" w:type="dxa"/>
              <w:bottom w:w="80" w:type="dxa"/>
              <w:end w:w="120" w:type="dxa"/>
            </w:tcMar>
          </w:tcPr>
          <w:p>
            <w:pPr>
              <w:spacing w:before="0" w:after="20" w:line="252" w:lineRule="auto"/>
              <w:jc w:val="left"/>
            </w:pPr>
            <w:r>
              <w:rPr>
                <w:color w:val="1D2733"/>
                <w:sz w:val="16"/>
              </w:rPr>
              <w:t>Central telemetry and alert routing on VPS/cloud</w:t>
            </w:r>
          </w:p>
        </w:tc>
      </w:tr>
    </w:tbl>
    <w:p>
      <w:pPr>
        <w:pStyle w:val="Heading2"/>
      </w:pPr>
      <w:r>
        <w:t>Multi-tenancy and data isolation</w:t>
      </w:r>
    </w:p>
    <w:p>
      <w:r>
        <w:t>The recommended first model is logical multi-tenancy with a tenant identifier enforced in every tenant-owned record, request context, query policy, cache key, file path, job and audit event. High-risk or enterprise clients may require a dedicated database, deployment or infrastructure account. That option must be supported through configuration and deployment automation, not a fork of the product code.</w:t>
      </w:r>
    </w:p>
    <w:p>
      <w:pPr>
        <w:pStyle w:val="Heading2"/>
      </w:pPr>
      <w:r>
        <w:t>Architecture governance</w:t>
      </w:r>
    </w:p>
    <w:p>
      <w:r>
        <w:t>Record consequential decisions and alternatives in Architecture Decision Records (ADRs) with an owner and review trigger. Maintain current context, module, data-flow, threat and deployment diagrams. Govern approved technology, dependency, integration and data patterns through time-bounded exceptions. Review at discovery, pre-build, pre-production and after material incidents or scale changes.</w:t>
      </w:r>
    </w:p>
    <w:p>
      <w:bookmarkStart w:id="8" w:name="sec08"/>
      <w:pPr>
        <w:pStyle w:val="Heading1"/>
        <w:keepNext/>
        <w:pageBreakBefore/>
      </w:pPr>
      <w:r>
        <w:t>SECTION 08 | Software Development Framework</w:t>
      </w:r>
      <w:bookmarkEnd w:id="8"/>
    </w:p>
    <w:p>
      <w:pPr>
        <w:pStyle w:val="LeadCallout"/>
        <w:shd w:fill="F4F6F9"/>
        <w:pBdr>
          <w:left w:val="single" w:sz="18" w:space="8" w:color="C99A2E"/>
        </w:pBdr>
      </w:pPr>
      <w:r>
        <w:rPr>
          <w:b/>
          <w:color w:val="102A43"/>
        </w:rPr>
        <w:t xml:space="preserve">Delivery model: </w:t>
      </w:r>
      <w:r>
        <w:t>Use product discovery to choose the right problem, iterative delivery to reduce risk, and DevSecOps controls to make every release reproducible, testable, secure and recoverable.</w:t>
      </w:r>
    </w:p>
    <w:p>
      <w:pPr>
        <w:pStyle w:val="Caption"/>
      </w:pPr>
      <w:r>
        <w:t>Table 16. Product and software lifecycle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350"/>
        <w:gridCol w:w="4860"/>
        <w:gridCol w:w="3150"/>
      </w:tblGrid>
      <w:tr>
        <w:trPr>
          <w:tblHeader w:val="true"/>
          <w:cantSplit/>
        </w:trPr>
        <w:tc>
          <w:tcPr>
            <w:tcW w:type="dxa" w:w="1350"/>
            <w:vAlign w:val="center"/>
            <w:shd w:fill="F2F4F7"/>
            <w:tcMar>
              <w:top w:w="80" w:type="dxa"/>
              <w:start w:w="120" w:type="dxa"/>
              <w:bottom w:w="80" w:type="dxa"/>
              <w:end w:w="120" w:type="dxa"/>
            </w:tcMar>
          </w:tcPr>
          <w:p>
            <w:pPr>
              <w:spacing w:before="0" w:after="0"/>
              <w:jc w:val="center"/>
            </w:pPr>
            <w:r>
              <w:rPr>
                <w:b/>
                <w:color w:val="102A43"/>
                <w:sz w:val="17"/>
              </w:rPr>
              <w:t>Stage</w:t>
            </w:r>
          </w:p>
        </w:tc>
        <w:tc>
          <w:tcPr>
            <w:tcW w:type="dxa" w:w="4860"/>
            <w:vAlign w:val="center"/>
            <w:shd w:fill="F2F4F7"/>
            <w:tcMar>
              <w:top w:w="80" w:type="dxa"/>
              <w:start w:w="120" w:type="dxa"/>
              <w:bottom w:w="80" w:type="dxa"/>
              <w:end w:w="120" w:type="dxa"/>
            </w:tcMar>
          </w:tcPr>
          <w:p>
            <w:pPr>
              <w:spacing w:before="0" w:after="0"/>
              <w:jc w:val="center"/>
            </w:pPr>
            <w:r>
              <w:rPr>
                <w:b/>
                <w:color w:val="102A43"/>
                <w:sz w:val="17"/>
              </w:rPr>
              <w:t>Core activities</w:t>
            </w:r>
          </w:p>
        </w:tc>
        <w:tc>
          <w:tcPr>
            <w:tcW w:type="dxa" w:w="3150"/>
            <w:vAlign w:val="center"/>
            <w:shd w:fill="F2F4F7"/>
            <w:tcMar>
              <w:top w:w="80" w:type="dxa"/>
              <w:start w:w="120" w:type="dxa"/>
              <w:bottom w:w="80" w:type="dxa"/>
              <w:end w:w="120" w:type="dxa"/>
            </w:tcMar>
          </w:tcPr>
          <w:p>
            <w:pPr>
              <w:spacing w:before="0" w:after="0"/>
              <w:jc w:val="center"/>
            </w:pPr>
            <w:r>
              <w:rPr>
                <w:b/>
                <w:color w:val="102A43"/>
                <w:sz w:val="17"/>
              </w:rPr>
              <w:t>Exit evidence</w:t>
            </w:r>
          </w:p>
        </w:tc>
      </w:tr>
      <w:tr>
        <w:trPr>
          <w:cantSplit/>
        </w:trPr>
        <w:tc>
          <w:tcPr>
            <w:tcW w:type="dxa" w:w="1350"/>
            <w:vAlign w:val="center"/>
            <w:tcMar>
              <w:top w:w="80" w:type="dxa"/>
              <w:start w:w="120" w:type="dxa"/>
              <w:bottom w:w="80" w:type="dxa"/>
              <w:end w:w="120" w:type="dxa"/>
            </w:tcMar>
          </w:tcPr>
          <w:p>
            <w:pPr>
              <w:spacing w:before="0" w:after="20" w:line="252" w:lineRule="auto"/>
              <w:jc w:val="left"/>
            </w:pPr>
            <w:r>
              <w:rPr>
                <w:color w:val="1D2733"/>
                <w:sz w:val="16"/>
              </w:rPr>
              <w:t>Discover</w:t>
            </w:r>
          </w:p>
        </w:tc>
        <w:tc>
          <w:tcPr>
            <w:tcW w:type="dxa" w:w="4860"/>
            <w:vAlign w:val="center"/>
            <w:tcMar>
              <w:top w:w="80" w:type="dxa"/>
              <w:start w:w="120" w:type="dxa"/>
              <w:bottom w:w="80" w:type="dxa"/>
              <w:end w:w="120" w:type="dxa"/>
            </w:tcMar>
          </w:tcPr>
          <w:p>
            <w:pPr>
              <w:spacing w:before="0" w:after="20" w:line="252" w:lineRule="auto"/>
              <w:jc w:val="left"/>
            </w:pPr>
            <w:r>
              <w:rPr>
                <w:color w:val="1D2733"/>
                <w:sz w:val="16"/>
              </w:rPr>
              <w:t>Customer interviews, process/data mapping, alternatives, risk and commercial hypothesis</w:t>
            </w:r>
          </w:p>
        </w:tc>
        <w:tc>
          <w:tcPr>
            <w:tcW w:type="dxa" w:w="3150"/>
            <w:vAlign w:val="center"/>
            <w:tcMar>
              <w:top w:w="80" w:type="dxa"/>
              <w:start w:w="120" w:type="dxa"/>
              <w:bottom w:w="80" w:type="dxa"/>
              <w:end w:w="120" w:type="dxa"/>
            </w:tcMar>
          </w:tcPr>
          <w:p>
            <w:pPr>
              <w:spacing w:before="0" w:after="20" w:line="252" w:lineRule="auto"/>
              <w:jc w:val="left"/>
            </w:pPr>
            <w:r>
              <w:rPr>
                <w:color w:val="1D2733"/>
                <w:sz w:val="16"/>
              </w:rPr>
              <w:t>Problem statement, segment, outcome metric and decision to stop or continue</w:t>
            </w:r>
          </w:p>
        </w:tc>
      </w:tr>
      <w:tr>
        <w:trPr>
          <w:cantSplit/>
        </w:trPr>
        <w:tc>
          <w:tcPr>
            <w:tcW w:type="dxa" w:w="1350"/>
            <w:vAlign w:val="center"/>
            <w:shd w:fill="FAFBFC"/>
            <w:tcMar>
              <w:top w:w="80" w:type="dxa"/>
              <w:start w:w="120" w:type="dxa"/>
              <w:bottom w:w="80" w:type="dxa"/>
              <w:end w:w="120" w:type="dxa"/>
            </w:tcMar>
          </w:tcPr>
          <w:p>
            <w:pPr>
              <w:spacing w:before="0" w:after="20" w:line="252" w:lineRule="auto"/>
              <w:jc w:val="left"/>
            </w:pPr>
            <w:r>
              <w:rPr>
                <w:color w:val="1D2733"/>
                <w:sz w:val="16"/>
              </w:rPr>
              <w:t>Define</w:t>
            </w:r>
          </w:p>
        </w:tc>
        <w:tc>
          <w:tcPr>
            <w:tcW w:type="dxa" w:w="4860"/>
            <w:vAlign w:val="center"/>
            <w:shd w:fill="FAFBFC"/>
            <w:tcMar>
              <w:top w:w="80" w:type="dxa"/>
              <w:start w:w="120" w:type="dxa"/>
              <w:bottom w:w="80" w:type="dxa"/>
              <w:end w:w="120" w:type="dxa"/>
            </w:tcMar>
          </w:tcPr>
          <w:p>
            <w:pPr>
              <w:spacing w:before="0" w:after="20" w:line="252" w:lineRule="auto"/>
              <w:jc w:val="left"/>
            </w:pPr>
            <w:r>
              <w:rPr>
                <w:color w:val="1D2733"/>
                <w:sz w:val="16"/>
              </w:rPr>
              <w:t>PRD, journey, scope, acceptance criteria, architecture, threat/privacy review and support model</w:t>
            </w:r>
          </w:p>
        </w:tc>
        <w:tc>
          <w:tcPr>
            <w:tcW w:type="dxa" w:w="3150"/>
            <w:vAlign w:val="center"/>
            <w:shd w:fill="FAFBFC"/>
            <w:tcMar>
              <w:top w:w="80" w:type="dxa"/>
              <w:start w:w="120" w:type="dxa"/>
              <w:bottom w:w="80" w:type="dxa"/>
              <w:end w:w="120" w:type="dxa"/>
            </w:tcMar>
          </w:tcPr>
          <w:p>
            <w:pPr>
              <w:spacing w:before="0" w:after="20" w:line="252" w:lineRule="auto"/>
              <w:jc w:val="left"/>
            </w:pPr>
            <w:r>
              <w:rPr>
                <w:color w:val="1D2733"/>
                <w:sz w:val="16"/>
              </w:rPr>
              <w:t>Approved thin slice, owner, plan, controls and budget</w:t>
            </w:r>
          </w:p>
        </w:tc>
      </w:tr>
      <w:tr>
        <w:trPr>
          <w:cantSplit/>
        </w:trPr>
        <w:tc>
          <w:tcPr>
            <w:tcW w:type="dxa" w:w="1350"/>
            <w:vAlign w:val="center"/>
            <w:tcMar>
              <w:top w:w="80" w:type="dxa"/>
              <w:start w:w="120" w:type="dxa"/>
              <w:bottom w:w="80" w:type="dxa"/>
              <w:end w:w="120" w:type="dxa"/>
            </w:tcMar>
          </w:tcPr>
          <w:p>
            <w:pPr>
              <w:spacing w:before="0" w:after="20" w:line="252" w:lineRule="auto"/>
              <w:jc w:val="left"/>
            </w:pPr>
            <w:r>
              <w:rPr>
                <w:color w:val="1D2733"/>
                <w:sz w:val="16"/>
              </w:rPr>
              <w:t>Design</w:t>
            </w:r>
          </w:p>
        </w:tc>
        <w:tc>
          <w:tcPr>
            <w:tcW w:type="dxa" w:w="4860"/>
            <w:vAlign w:val="center"/>
            <w:tcMar>
              <w:top w:w="80" w:type="dxa"/>
              <w:start w:w="120" w:type="dxa"/>
              <w:bottom w:w="80" w:type="dxa"/>
              <w:end w:w="120" w:type="dxa"/>
            </w:tcMar>
          </w:tcPr>
          <w:p>
            <w:pPr>
              <w:spacing w:before="0" w:after="20" w:line="252" w:lineRule="auto"/>
              <w:jc w:val="left"/>
            </w:pPr>
            <w:r>
              <w:rPr>
                <w:color w:val="1D2733"/>
                <w:sz w:val="16"/>
              </w:rPr>
              <w:t>UX prototype, data/API contracts, test strategy, migration and observability</w:t>
            </w:r>
          </w:p>
        </w:tc>
        <w:tc>
          <w:tcPr>
            <w:tcW w:type="dxa" w:w="3150"/>
            <w:vAlign w:val="center"/>
            <w:tcMar>
              <w:top w:w="80" w:type="dxa"/>
              <w:start w:w="120" w:type="dxa"/>
              <w:bottom w:w="80" w:type="dxa"/>
              <w:end w:w="120" w:type="dxa"/>
            </w:tcMar>
          </w:tcPr>
          <w:p>
            <w:pPr>
              <w:spacing w:before="0" w:after="20" w:line="252" w:lineRule="auto"/>
              <w:jc w:val="left"/>
            </w:pPr>
            <w:r>
              <w:rPr>
                <w:color w:val="1D2733"/>
                <w:sz w:val="16"/>
              </w:rPr>
              <w:t>Reviewed design and testable acceptance criteria</w:t>
            </w:r>
          </w:p>
        </w:tc>
      </w:tr>
      <w:tr>
        <w:trPr>
          <w:cantSplit/>
        </w:trPr>
        <w:tc>
          <w:tcPr>
            <w:tcW w:type="dxa" w:w="1350"/>
            <w:vAlign w:val="center"/>
            <w:shd w:fill="FAFBFC"/>
            <w:tcMar>
              <w:top w:w="80" w:type="dxa"/>
              <w:start w:w="120" w:type="dxa"/>
              <w:bottom w:w="80" w:type="dxa"/>
              <w:end w:w="120" w:type="dxa"/>
            </w:tcMar>
          </w:tcPr>
          <w:p>
            <w:pPr>
              <w:spacing w:before="0" w:after="20" w:line="252" w:lineRule="auto"/>
              <w:jc w:val="left"/>
            </w:pPr>
            <w:r>
              <w:rPr>
                <w:color w:val="1D2733"/>
                <w:sz w:val="16"/>
              </w:rPr>
              <w:t>Build</w:t>
            </w:r>
          </w:p>
        </w:tc>
        <w:tc>
          <w:tcPr>
            <w:tcW w:type="dxa" w:w="4860"/>
            <w:vAlign w:val="center"/>
            <w:shd w:fill="FAFBFC"/>
            <w:tcMar>
              <w:top w:w="80" w:type="dxa"/>
              <w:start w:w="120" w:type="dxa"/>
              <w:bottom w:w="80" w:type="dxa"/>
              <w:end w:w="120" w:type="dxa"/>
            </w:tcMar>
          </w:tcPr>
          <w:p>
            <w:pPr>
              <w:spacing w:before="0" w:after="20" w:line="252" w:lineRule="auto"/>
              <w:jc w:val="left"/>
            </w:pPr>
            <w:r>
              <w:rPr>
                <w:color w:val="1D2733"/>
                <w:sz w:val="16"/>
              </w:rPr>
              <w:t>Small changes, peer review, automated checks, documentation and feature flags</w:t>
            </w:r>
          </w:p>
        </w:tc>
        <w:tc>
          <w:tcPr>
            <w:tcW w:type="dxa" w:w="3150"/>
            <w:vAlign w:val="center"/>
            <w:shd w:fill="FAFBFC"/>
            <w:tcMar>
              <w:top w:w="80" w:type="dxa"/>
              <w:start w:w="120" w:type="dxa"/>
              <w:bottom w:w="80" w:type="dxa"/>
              <w:end w:w="120" w:type="dxa"/>
            </w:tcMar>
          </w:tcPr>
          <w:p>
            <w:pPr>
              <w:spacing w:before="0" w:after="20" w:line="252" w:lineRule="auto"/>
              <w:jc w:val="left"/>
            </w:pPr>
            <w:r>
              <w:rPr>
                <w:color w:val="1D2733"/>
                <w:sz w:val="16"/>
              </w:rPr>
              <w:t>Merged code with traceability and clean quality gates</w:t>
            </w:r>
          </w:p>
        </w:tc>
      </w:tr>
      <w:tr>
        <w:trPr>
          <w:cantSplit/>
        </w:trPr>
        <w:tc>
          <w:tcPr>
            <w:tcW w:type="dxa" w:w="1350"/>
            <w:vAlign w:val="center"/>
            <w:tcMar>
              <w:top w:w="80" w:type="dxa"/>
              <w:start w:w="120" w:type="dxa"/>
              <w:bottom w:w="80" w:type="dxa"/>
              <w:end w:w="120" w:type="dxa"/>
            </w:tcMar>
          </w:tcPr>
          <w:p>
            <w:pPr>
              <w:spacing w:before="0" w:after="20" w:line="252" w:lineRule="auto"/>
              <w:jc w:val="left"/>
            </w:pPr>
            <w:r>
              <w:rPr>
                <w:color w:val="1D2733"/>
                <w:sz w:val="16"/>
              </w:rPr>
              <w:t>Verify</w:t>
            </w:r>
          </w:p>
        </w:tc>
        <w:tc>
          <w:tcPr>
            <w:tcW w:type="dxa" w:w="4860"/>
            <w:vAlign w:val="center"/>
            <w:tcMar>
              <w:top w:w="80" w:type="dxa"/>
              <w:start w:w="120" w:type="dxa"/>
              <w:bottom w:w="80" w:type="dxa"/>
              <w:end w:w="120" w:type="dxa"/>
            </w:tcMar>
          </w:tcPr>
          <w:p>
            <w:pPr>
              <w:spacing w:before="0" w:after="20" w:line="252" w:lineRule="auto"/>
              <w:jc w:val="left"/>
            </w:pPr>
            <w:r>
              <w:rPr>
                <w:color w:val="1D2733"/>
                <w:sz w:val="16"/>
              </w:rPr>
              <w:t>Functional, integration, security, accessibility, performance, migration and recovery tests</w:t>
            </w:r>
          </w:p>
        </w:tc>
        <w:tc>
          <w:tcPr>
            <w:tcW w:type="dxa" w:w="3150"/>
            <w:vAlign w:val="center"/>
            <w:tcMar>
              <w:top w:w="80" w:type="dxa"/>
              <w:start w:w="120" w:type="dxa"/>
              <w:bottom w:w="80" w:type="dxa"/>
              <w:end w:w="120" w:type="dxa"/>
            </w:tcMar>
          </w:tcPr>
          <w:p>
            <w:pPr>
              <w:spacing w:before="0" w:after="20" w:line="252" w:lineRule="auto"/>
              <w:jc w:val="left"/>
            </w:pPr>
            <w:r>
              <w:rPr>
                <w:color w:val="1D2733"/>
                <w:sz w:val="16"/>
              </w:rPr>
              <w:t>Test evidence, accepted residual risk and release candidate</w:t>
            </w:r>
          </w:p>
        </w:tc>
      </w:tr>
      <w:tr>
        <w:trPr>
          <w:cantSplit/>
        </w:trPr>
        <w:tc>
          <w:tcPr>
            <w:tcW w:type="dxa" w:w="1350"/>
            <w:vAlign w:val="center"/>
            <w:shd w:fill="FAFBFC"/>
            <w:tcMar>
              <w:top w:w="80" w:type="dxa"/>
              <w:start w:w="120" w:type="dxa"/>
              <w:bottom w:w="80" w:type="dxa"/>
              <w:end w:w="120" w:type="dxa"/>
            </w:tcMar>
          </w:tcPr>
          <w:p>
            <w:pPr>
              <w:spacing w:before="0" w:after="20" w:line="252" w:lineRule="auto"/>
              <w:jc w:val="left"/>
            </w:pPr>
            <w:r>
              <w:rPr>
                <w:color w:val="1D2733"/>
                <w:sz w:val="16"/>
              </w:rPr>
              <w:t>Release</w:t>
            </w:r>
          </w:p>
        </w:tc>
        <w:tc>
          <w:tcPr>
            <w:tcW w:type="dxa" w:w="4860"/>
            <w:vAlign w:val="center"/>
            <w:shd w:fill="FAFBFC"/>
            <w:tcMar>
              <w:top w:w="80" w:type="dxa"/>
              <w:start w:w="120" w:type="dxa"/>
              <w:bottom w:w="80" w:type="dxa"/>
              <w:end w:w="120" w:type="dxa"/>
            </w:tcMar>
          </w:tcPr>
          <w:p>
            <w:pPr>
              <w:spacing w:before="0" w:after="20" w:line="252" w:lineRule="auto"/>
              <w:jc w:val="left"/>
            </w:pPr>
            <w:r>
              <w:rPr>
                <w:color w:val="1D2733"/>
                <w:sz w:val="16"/>
              </w:rPr>
              <w:t>Approval, backup, deployment, smoke test, monitoring, communications and rollback readiness</w:t>
            </w:r>
          </w:p>
        </w:tc>
        <w:tc>
          <w:tcPr>
            <w:tcW w:type="dxa" w:w="3150"/>
            <w:vAlign w:val="center"/>
            <w:shd w:fill="FAFBFC"/>
            <w:tcMar>
              <w:top w:w="80" w:type="dxa"/>
              <w:start w:w="120" w:type="dxa"/>
              <w:bottom w:w="80" w:type="dxa"/>
              <w:end w:w="120" w:type="dxa"/>
            </w:tcMar>
          </w:tcPr>
          <w:p>
            <w:pPr>
              <w:spacing w:before="0" w:after="20" w:line="252" w:lineRule="auto"/>
              <w:jc w:val="left"/>
            </w:pPr>
            <w:r>
              <w:rPr>
                <w:color w:val="1D2733"/>
                <w:sz w:val="16"/>
              </w:rPr>
              <w:t>Signed release record and stable production health</w:t>
            </w:r>
          </w:p>
        </w:tc>
      </w:tr>
      <w:tr>
        <w:trPr>
          <w:cantSplit/>
        </w:trPr>
        <w:tc>
          <w:tcPr>
            <w:tcW w:type="dxa" w:w="1350"/>
            <w:vAlign w:val="center"/>
            <w:tcMar>
              <w:top w:w="80" w:type="dxa"/>
              <w:start w:w="120" w:type="dxa"/>
              <w:bottom w:w="80" w:type="dxa"/>
              <w:end w:w="120" w:type="dxa"/>
            </w:tcMar>
          </w:tcPr>
          <w:p>
            <w:pPr>
              <w:spacing w:before="0" w:after="20" w:line="252" w:lineRule="auto"/>
              <w:jc w:val="left"/>
            </w:pPr>
            <w:r>
              <w:rPr>
                <w:color w:val="1D2733"/>
                <w:sz w:val="16"/>
              </w:rPr>
              <w:t>Learn</w:t>
            </w:r>
          </w:p>
        </w:tc>
        <w:tc>
          <w:tcPr>
            <w:tcW w:type="dxa" w:w="4860"/>
            <w:vAlign w:val="center"/>
            <w:tcMar>
              <w:top w:w="80" w:type="dxa"/>
              <w:start w:w="120" w:type="dxa"/>
              <w:bottom w:w="80" w:type="dxa"/>
              <w:end w:w="120" w:type="dxa"/>
            </w:tcMar>
          </w:tcPr>
          <w:p>
            <w:pPr>
              <w:spacing w:before="0" w:after="20" w:line="252" w:lineRule="auto"/>
              <w:jc w:val="left"/>
            </w:pPr>
            <w:r>
              <w:rPr>
                <w:color w:val="1D2733"/>
                <w:sz w:val="16"/>
              </w:rPr>
              <w:t>Adoption, outcomes, support, defects, cost and customer feedback</w:t>
            </w:r>
          </w:p>
        </w:tc>
        <w:tc>
          <w:tcPr>
            <w:tcW w:type="dxa" w:w="3150"/>
            <w:vAlign w:val="center"/>
            <w:tcMar>
              <w:top w:w="80" w:type="dxa"/>
              <w:start w:w="120" w:type="dxa"/>
              <w:bottom w:w="80" w:type="dxa"/>
              <w:end w:w="120" w:type="dxa"/>
            </w:tcMar>
          </w:tcPr>
          <w:p>
            <w:pPr>
              <w:spacing w:before="0" w:after="20" w:line="252" w:lineRule="auto"/>
              <w:jc w:val="left"/>
            </w:pPr>
            <w:r>
              <w:rPr>
                <w:color w:val="1D2733"/>
                <w:sz w:val="16"/>
              </w:rPr>
              <w:t>Decision to iterate, scale, maintain or retire</w:t>
            </w:r>
          </w:p>
        </w:tc>
      </w:tr>
    </w:tbl>
    <w:p>
      <w:pPr>
        <w:pStyle w:val="Heading2"/>
      </w:pPr>
      <w:r>
        <w:t>Definition of Ready</w:t>
      </w:r>
    </w:p>
    <w:p>
      <w:pPr>
        <w:pStyle w:val="ListBullet"/>
        <w:keepLines/>
      </w:pPr>
      <w:r>
        <w:t>A named customer/user and problem are documented.</w:t>
      </w:r>
    </w:p>
    <w:p>
      <w:pPr>
        <w:pStyle w:val="ListBullet"/>
        <w:keepLines/>
      </w:pPr>
      <w:r>
        <w:t>The outcome metric, scope and non-goals are explicit.</w:t>
      </w:r>
    </w:p>
    <w:p>
      <w:pPr>
        <w:pStyle w:val="ListBullet"/>
        <w:keepLines/>
      </w:pPr>
      <w:r>
        <w:t>Acceptance criteria are testable; dependencies and data are understood.</w:t>
      </w:r>
    </w:p>
    <w:p>
      <w:pPr>
        <w:pStyle w:val="ListBullet"/>
        <w:keepLines/>
      </w:pPr>
      <w:r>
        <w:t>Security, privacy, legal, accessibility, support and migration impacts have been screened.</w:t>
      </w:r>
    </w:p>
    <w:p>
      <w:pPr>
        <w:pStyle w:val="ListBullet"/>
        <w:keepLines/>
      </w:pPr>
      <w:r>
        <w:t>Design and architecture are proportionate to risk; owner and capacity are available.</w:t>
      </w:r>
    </w:p>
    <w:p>
      <w:pPr>
        <w:pStyle w:val="Heading2"/>
      </w:pPr>
      <w:r>
        <w:t>Definition of Done</w:t>
      </w:r>
    </w:p>
    <w:p>
      <w:pPr>
        <w:pStyle w:val="ListBullet"/>
        <w:keepLines/>
      </w:pPr>
      <w:r>
        <w:t>Code is reviewed, version-controlled and linked to the requirement and decision record.</w:t>
      </w:r>
    </w:p>
    <w:p>
      <w:pPr>
        <w:pStyle w:val="ListBullet"/>
        <w:keepLines/>
      </w:pPr>
      <w:r>
        <w:t>Automated and manual tests pass; critical/high vulnerabilities are resolved or formally accepted by authorised risk owners.</w:t>
      </w:r>
    </w:p>
    <w:p>
      <w:pPr>
        <w:pStyle w:val="ListBullet"/>
        <w:keepLines/>
      </w:pPr>
      <w:r>
        <w:t>Documentation, runbooks, release notes, migrations, monitoring and support knowledge are current.</w:t>
      </w:r>
    </w:p>
    <w:p>
      <w:pPr>
        <w:pStyle w:val="ListBullet"/>
        <w:keepLines/>
      </w:pPr>
      <w:r>
        <w:t>Deployment and rollback are tested at the appropriate level; data/AI evaluation evidence is retained.</w:t>
      </w:r>
    </w:p>
    <w:p>
      <w:pPr>
        <w:pStyle w:val="ListBullet"/>
        <w:keepLines/>
      </w:pPr>
      <w:r>
        <w:t>The feature is released safely, measured in production and assigned a post-release review date.</w:t>
      </w:r>
    </w:p>
    <w:p>
      <w:pPr>
        <w:pStyle w:val="Heading2"/>
      </w:pPr>
      <w:r>
        <w:t>Planning and workflow</w:t>
      </w:r>
    </w:p>
    <w:p>
      <w:r>
        <w:t>Use a prioritised product backlog with short planning horizons. Product teams may use Scrum or Kanban according to work type, but must maintain flow limits, explicit priorities, visible blockers and a release forecast. Urgent work must not silently bypass controls: an emergency path records the reason, approver, tests performed, rollback plan and required follow-up.</w:t>
      </w:r>
    </w:p>
    <w:p>
      <w:pPr>
        <w:pStyle w:val="Heading2"/>
      </w:pPr>
      <w:r>
        <w:t>Engineering health measures</w:t>
      </w:r>
    </w:p>
    <w:p>
      <w:pPr>
        <w:pStyle w:val="ListBullet"/>
        <w:keepLines/>
      </w:pPr>
      <w:r>
        <w:t>Lead time from approved change to production and deployment frequency.</w:t>
      </w:r>
    </w:p>
    <w:p>
      <w:pPr>
        <w:pStyle w:val="ListBullet"/>
        <w:keepLines/>
      </w:pPr>
      <w:r>
        <w:t>Change failure rate, rollback rate and time to restore service.</w:t>
      </w:r>
    </w:p>
    <w:p>
      <w:pPr>
        <w:pStyle w:val="ListBullet"/>
        <w:keepLines/>
      </w:pPr>
      <w:r>
        <w:t>Escaped defects, vulnerability age, test reliability and dependency freshness.</w:t>
      </w:r>
    </w:p>
    <w:p>
      <w:pPr>
        <w:pStyle w:val="ListBullet"/>
        <w:keepLines/>
      </w:pPr>
      <w:r>
        <w:t>Build/release success, review time, documentation currency and operational toil.</w:t>
      </w:r>
    </w:p>
    <w:p>
      <w:pPr>
        <w:pStyle w:val="ListBullet"/>
        <w:keepLines/>
      </w:pPr>
      <w:r>
        <w:t>Product adoption and outcome measures; delivery speed without customer value is not success.</w:t>
      </w:r>
    </w:p>
    <w:p>
      <w:bookmarkStart w:id="9" w:name="sec09"/>
      <w:pPr>
        <w:pStyle w:val="Heading1"/>
        <w:keepNext/>
        <w:pageBreakBefore/>
      </w:pPr>
      <w:r>
        <w:t>SECTION 09 | Product Roadmap</w:t>
      </w:r>
      <w:bookmarkEnd w:id="9"/>
    </w:p>
    <w:p>
      <w:pPr>
        <w:pStyle w:val="LeadCallout"/>
        <w:shd w:fill="F4F6F9"/>
        <w:pBdr>
          <w:left w:val="single" w:sz="18" w:space="8" w:color="C99A2E"/>
        </w:pBdr>
      </w:pPr>
      <w:r>
        <w:rPr>
          <w:b/>
          <w:color w:val="102A43"/>
        </w:rPr>
        <w:t xml:space="preserve">Roadmap rule: </w:t>
      </w:r>
      <w:r>
        <w:t>The roadmap is a sequence of validated capabilities and business outcomes, not a promise to build every listed feature. Quarterly portfolio review can re-order, pause or retire work as evidence changes.</w:t>
      </w:r>
    </w:p>
    <w:p>
      <w:pPr>
        <w:keepNext/>
        <w:jc w:val="center"/>
      </w:pPr>
      <w:r>
        <w:drawing>
          <wp:inline xmlns:a="http://schemas.openxmlformats.org/drawingml/2006/main" xmlns:pic="http://schemas.openxmlformats.org/drawingml/2006/picture">
            <wp:extent cx="5806440" cy="2741930"/>
            <wp:docPr id="4" name="Picture 4" descr="Six-stage roadmap from control and foundation through pilot, commercialisation, scale and platform ecosystem." title="Phased execution roadmap"/>
            <wp:cNvGraphicFramePr>
              <a:graphicFrameLocks noChangeAspect="1"/>
            </wp:cNvGraphicFramePr>
            <a:graphic>
              <a:graphicData uri="http://schemas.openxmlformats.org/drawingml/2006/picture">
                <pic:pic>
                  <pic:nvPicPr>
                    <pic:cNvPr id="0" name="rihuum-roadmap.png"/>
                    <pic:cNvPicPr/>
                  </pic:nvPicPr>
                  <pic:blipFill>
                    <a:blip r:embed="rId17"/>
                    <a:stretch>
                      <a:fillRect/>
                    </a:stretch>
                  </pic:blipFill>
                  <pic:spPr>
                    <a:xfrm>
                      <a:off x="0" y="0"/>
                      <a:ext cx="5806440" cy="2741930"/>
                    </a:xfrm>
                    <a:prstGeom prst="rect"/>
                  </pic:spPr>
                </pic:pic>
              </a:graphicData>
            </a:graphic>
          </wp:inline>
        </w:drawing>
      </w:r>
    </w:p>
    <w:p>
      <w:pPr>
        <w:pStyle w:val="Caption"/>
        <w:jc w:val="center"/>
      </w:pPr>
      <w:r>
        <w:t>Figure 3. Phased execution roadmap</w:t>
      </w:r>
    </w:p>
    <w:p>
      <w:pPr>
        <w:pStyle w:val="Heading2"/>
      </w:pPr>
      <w:r>
        <w:t>RME and Rihuum OS capability roadmap</w:t>
      </w:r>
    </w:p>
    <w:p>
      <w:pPr>
        <w:pStyle w:val="Caption"/>
      </w:pPr>
      <w:r>
        <w:t>Table 17. RME and Rihuum OS releases and outcome gates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900"/>
        <w:gridCol w:w="4950"/>
        <w:gridCol w:w="2510"/>
      </w:tblGrid>
      <w:tr>
        <w:trPr>
          <w:tblHeader w:val="true"/>
          <w:cantSplit/>
        </w:trPr>
        <w:tc>
          <w:tcPr>
            <w:tcW w:type="dxa" w:w="1900"/>
            <w:vAlign w:val="center"/>
            <w:shd w:fill="F2F4F7"/>
            <w:tcMar>
              <w:top w:w="80" w:type="dxa"/>
              <w:start w:w="120" w:type="dxa"/>
              <w:bottom w:w="80" w:type="dxa"/>
              <w:end w:w="120" w:type="dxa"/>
            </w:tcMar>
          </w:tcPr>
          <w:p>
            <w:pPr>
              <w:spacing w:before="0" w:after="0"/>
              <w:jc w:val="center"/>
            </w:pPr>
            <w:r>
              <w:rPr>
                <w:b/>
                <w:color w:val="102A43"/>
                <w:sz w:val="17"/>
              </w:rPr>
              <w:t>Horizon</w:t>
            </w:r>
          </w:p>
        </w:tc>
        <w:tc>
          <w:tcPr>
            <w:tcW w:type="dxa" w:w="4950"/>
            <w:vAlign w:val="center"/>
            <w:shd w:fill="F2F4F7"/>
            <w:tcMar>
              <w:top w:w="80" w:type="dxa"/>
              <w:start w:w="120" w:type="dxa"/>
              <w:bottom w:w="80" w:type="dxa"/>
              <w:end w:w="120" w:type="dxa"/>
            </w:tcMar>
          </w:tcPr>
          <w:p>
            <w:pPr>
              <w:spacing w:before="0" w:after="0"/>
              <w:jc w:val="left"/>
            </w:pPr>
            <w:r>
              <w:rPr>
                <w:b/>
                <w:color w:val="102A43"/>
                <w:sz w:val="17"/>
              </w:rPr>
              <w:t>Minimum capability</w:t>
            </w:r>
          </w:p>
        </w:tc>
        <w:tc>
          <w:tcPr>
            <w:tcW w:type="dxa" w:w="2510"/>
            <w:vAlign w:val="center"/>
            <w:shd w:fill="F2F4F7"/>
            <w:tcMar>
              <w:top w:w="80" w:type="dxa"/>
              <w:start w:w="120" w:type="dxa"/>
              <w:bottom w:w="80" w:type="dxa"/>
              <w:end w:w="120" w:type="dxa"/>
            </w:tcMar>
          </w:tcPr>
          <w:p>
            <w:pPr>
              <w:spacing w:before="0" w:after="0"/>
              <w:jc w:val="center"/>
            </w:pPr>
            <w:r>
              <w:rPr>
                <w:b/>
                <w:color w:val="102A43"/>
                <w:sz w:val="17"/>
              </w:rPr>
              <w:t>Gate to advance</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Foundation - 0 to 90 days</w:t>
            </w:r>
          </w:p>
        </w:tc>
        <w:tc>
          <w:tcPr>
            <w:tcW w:type="dxa" w:w="4950"/>
            <w:vAlign w:val="center"/>
            <w:tcMar>
              <w:top w:w="80" w:type="dxa"/>
              <w:start w:w="120" w:type="dxa"/>
              <w:bottom w:w="80" w:type="dxa"/>
              <w:end w:w="120" w:type="dxa"/>
            </w:tcMar>
          </w:tcPr>
          <w:p>
            <w:pPr>
              <w:spacing w:before="0" w:after="20" w:line="252" w:lineRule="auto"/>
              <w:jc w:val="left"/>
            </w:pPr>
            <w:r>
              <w:rPr>
                <w:color w:val="1D2733"/>
                <w:sz w:val="16"/>
              </w:rPr>
              <w:t>RME identity, organisations/tenants, roles, policy, audit, configuration, support, product registry, platform contracts and secure environments; Rihuum OS shell</w:t>
            </w:r>
          </w:p>
        </w:tc>
        <w:tc>
          <w:tcPr>
            <w:tcW w:type="dxa" w:w="2510"/>
            <w:vAlign w:val="center"/>
            <w:tcMar>
              <w:top w:w="80" w:type="dxa"/>
              <w:start w:w="120" w:type="dxa"/>
              <w:bottom w:w="80" w:type="dxa"/>
              <w:end w:w="120" w:type="dxa"/>
            </w:tcMar>
          </w:tcPr>
          <w:p>
            <w:pPr>
              <w:spacing w:before="0" w:after="20" w:line="252" w:lineRule="auto"/>
              <w:jc w:val="left"/>
            </w:pPr>
            <w:r>
              <w:rPr>
                <w:color w:val="1D2733"/>
                <w:sz w:val="16"/>
              </w:rPr>
              <w:t>End-to-end demonstrator; threat model; restore test; named pilot</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Pilot - months 4 to 6</w:t>
            </w:r>
          </w:p>
        </w:tc>
        <w:tc>
          <w:tcPr>
            <w:tcW w:type="dxa" w:w="4950"/>
            <w:vAlign w:val="center"/>
            <w:shd w:fill="FAFBFC"/>
            <w:tcMar>
              <w:top w:w="80" w:type="dxa"/>
              <w:start w:w="120" w:type="dxa"/>
              <w:bottom w:w="80" w:type="dxa"/>
              <w:end w:w="120" w:type="dxa"/>
            </w:tcMar>
          </w:tcPr>
          <w:p>
            <w:pPr>
              <w:spacing w:before="0" w:after="20" w:line="252" w:lineRule="auto"/>
              <w:jc w:val="left"/>
            </w:pPr>
            <w:r>
              <w:rPr>
                <w:color w:val="1D2733"/>
                <w:sz w:val="16"/>
              </w:rPr>
              <w:t>RME workflow, notifications, subscriptions/licensing and reporting exposed through a Rihuum OS CRM/client-portal thin slice</w:t>
            </w:r>
          </w:p>
        </w:tc>
        <w:tc>
          <w:tcPr>
            <w:tcW w:type="dxa" w:w="2510"/>
            <w:vAlign w:val="center"/>
            <w:shd w:fill="FAFBFC"/>
            <w:tcMar>
              <w:top w:w="80" w:type="dxa"/>
              <w:start w:w="120" w:type="dxa"/>
              <w:bottom w:w="80" w:type="dxa"/>
              <w:end w:w="120" w:type="dxa"/>
            </w:tcMar>
          </w:tcPr>
          <w:p>
            <w:pPr>
              <w:spacing w:before="0" w:after="20" w:line="252" w:lineRule="auto"/>
              <w:jc w:val="left"/>
            </w:pPr>
            <w:r>
              <w:rPr>
                <w:color w:val="1D2733"/>
                <w:sz w:val="16"/>
              </w:rPr>
              <w:t>Paid pilot; adoption; contract compatibility; support and migration evidence</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Commercial - months 7 to 12</w:t>
            </w:r>
          </w:p>
        </w:tc>
        <w:tc>
          <w:tcPr>
            <w:tcW w:type="dxa" w:w="4950"/>
            <w:vAlign w:val="center"/>
            <w:tcMar>
              <w:top w:w="80" w:type="dxa"/>
              <w:start w:w="120" w:type="dxa"/>
              <w:bottom w:w="80" w:type="dxa"/>
              <w:end w:w="120" w:type="dxa"/>
            </w:tcMar>
          </w:tcPr>
          <w:p>
            <w:pPr>
              <w:spacing w:before="0" w:after="20" w:line="252" w:lineRule="auto"/>
              <w:jc w:val="left"/>
            </w:pPr>
            <w:r>
              <w:rPr>
                <w:color w:val="1D2733"/>
                <w:sz w:val="16"/>
              </w:rPr>
              <w:t>Billing integration, service desk, Academy/LMS or one priority sector module, self-service onboarding and operations dashboard</w:t>
            </w:r>
          </w:p>
        </w:tc>
        <w:tc>
          <w:tcPr>
            <w:tcW w:type="dxa" w:w="2510"/>
            <w:vAlign w:val="center"/>
            <w:tcMar>
              <w:top w:w="80" w:type="dxa"/>
              <w:start w:w="120" w:type="dxa"/>
              <w:bottom w:w="80" w:type="dxa"/>
              <w:end w:w="120" w:type="dxa"/>
            </w:tcMar>
          </w:tcPr>
          <w:p>
            <w:pPr>
              <w:spacing w:before="0" w:after="20" w:line="252" w:lineRule="auto"/>
              <w:jc w:val="left"/>
            </w:pPr>
            <w:r>
              <w:rPr>
                <w:color w:val="1D2733"/>
                <w:sz w:val="16"/>
              </w:rPr>
              <w:t>Repeatable deployment; support capacity; acceptable unit economics</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Scale - months 13 to 24</w:t>
            </w:r>
          </w:p>
        </w:tc>
        <w:tc>
          <w:tcPr>
            <w:tcW w:type="dxa" w:w="4950"/>
            <w:vAlign w:val="center"/>
            <w:shd w:fill="FAFBFC"/>
            <w:tcMar>
              <w:top w:w="80" w:type="dxa"/>
              <w:start w:w="120" w:type="dxa"/>
              <w:bottom w:w="80" w:type="dxa"/>
              <w:end w:w="120" w:type="dxa"/>
            </w:tcMar>
          </w:tcPr>
          <w:p>
            <w:pPr>
              <w:spacing w:before="0" w:after="20" w:line="252" w:lineRule="auto"/>
              <w:jc w:val="left"/>
            </w:pPr>
            <w:r>
              <w:rPr>
                <w:color w:val="1D2733"/>
                <w:sz w:val="16"/>
              </w:rPr>
              <w:t>API catalogue, integration adapters, advanced analytics, additional sector modules, regionalisation and stronger isolation options</w:t>
            </w:r>
          </w:p>
        </w:tc>
        <w:tc>
          <w:tcPr>
            <w:tcW w:type="dxa" w:w="2510"/>
            <w:vAlign w:val="center"/>
            <w:shd w:fill="FAFBFC"/>
            <w:tcMar>
              <w:top w:w="80" w:type="dxa"/>
              <w:start w:w="120" w:type="dxa"/>
              <w:bottom w:w="80" w:type="dxa"/>
              <w:end w:w="120" w:type="dxa"/>
            </w:tcMar>
          </w:tcPr>
          <w:p>
            <w:pPr>
              <w:spacing w:before="0" w:after="20" w:line="252" w:lineRule="auto"/>
              <w:jc w:val="left"/>
            </w:pPr>
            <w:r>
              <w:rPr>
                <w:color w:val="1D2733"/>
                <w:sz w:val="16"/>
              </w:rPr>
              <w:t>Multiple reference clients; cloud migration triggers met; partner readiness</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Platform - months 25 to 36</w:t>
            </w:r>
          </w:p>
        </w:tc>
        <w:tc>
          <w:tcPr>
            <w:tcW w:type="dxa" w:w="4950"/>
            <w:vAlign w:val="center"/>
            <w:tcMar>
              <w:top w:w="80" w:type="dxa"/>
              <w:start w:w="120" w:type="dxa"/>
              <w:bottom w:w="80" w:type="dxa"/>
              <w:end w:w="120" w:type="dxa"/>
            </w:tcMar>
          </w:tcPr>
          <w:p>
            <w:pPr>
              <w:spacing w:before="0" w:after="20" w:line="252" w:lineRule="auto"/>
              <w:jc w:val="left"/>
            </w:pPr>
            <w:r>
              <w:rPr>
                <w:color w:val="1D2733"/>
                <w:sz w:val="16"/>
              </w:rPr>
              <w:t>RME extension framework, partner modules, marketplace controls, private/enterprise deployment and advanced RIA services</w:t>
            </w:r>
          </w:p>
        </w:tc>
        <w:tc>
          <w:tcPr>
            <w:tcW w:type="dxa" w:w="2510"/>
            <w:vAlign w:val="center"/>
            <w:tcMar>
              <w:top w:w="80" w:type="dxa"/>
              <w:start w:w="120" w:type="dxa"/>
              <w:bottom w:w="80" w:type="dxa"/>
              <w:end w:w="120" w:type="dxa"/>
            </w:tcMar>
          </w:tcPr>
          <w:p>
            <w:pPr>
              <w:spacing w:before="0" w:after="20" w:line="252" w:lineRule="auto"/>
              <w:jc w:val="left"/>
            </w:pPr>
            <w:r>
              <w:rPr>
                <w:color w:val="1D2733"/>
                <w:sz w:val="16"/>
              </w:rPr>
              <w:t>Governed ecosystem, stable contracts, assurance and sustainable partner economics</w:t>
            </w:r>
          </w:p>
        </w:tc>
      </w:tr>
    </w:tbl>
    <w:p>
      <w:pPr>
        <w:pStyle w:val="Heading2"/>
      </w:pPr>
      <w:r>
        <w:t>Portfolio sequence</w:t>
      </w:r>
    </w:p>
    <w:p>
      <w:pPr>
        <w:pStyle w:val="ListNumber"/>
        <w:keepLines/>
        <w:numPr>
          <w:ilvl w:val="0"/>
          <w:numId w:val="13"/>
        </w:numPr>
      </w:pPr>
      <w:r>
        <w:t>Stabilise corporate identity, domains, sales/service workflows and engineering controls.</w:t>
      </w:r>
    </w:p>
    <w:p>
      <w:pPr>
        <w:pStyle w:val="ListNumber"/>
        <w:keepLines/>
        <w:numPr>
          <w:ilvl w:val="0"/>
          <w:numId w:val="13"/>
        </w:numPr>
      </w:pPr>
      <w:r>
        <w:t>Build RME Core first, then deliver a Rihuum OS thin slice and use Rihuum internally as the first operational client.</w:t>
      </w:r>
    </w:p>
    <w:p>
      <w:pPr>
        <w:pStyle w:val="ListNumber"/>
        <w:keepLines/>
        <w:numPr>
          <w:ilvl w:val="0"/>
          <w:numId w:val="13"/>
        </w:numPr>
      </w:pPr>
      <w:r>
        <w:t>Select one external lighthouse workflow with a defined buyer, measurable pain and short implementation path.</w:t>
      </w:r>
    </w:p>
    <w:p>
      <w:pPr>
        <w:pStyle w:val="ListNumber"/>
        <w:keepLines/>
        <w:numPr>
          <w:ilvl w:val="0"/>
          <w:numId w:val="13"/>
        </w:numPr>
      </w:pPr>
      <w:r>
        <w:t>Commercialise the Academy platform and one smart-operations or hospitality module only after core reuse is proven.</w:t>
      </w:r>
    </w:p>
    <w:p>
      <w:pPr>
        <w:pStyle w:val="ListNumber"/>
        <w:keepLines/>
        <w:numPr>
          <w:ilvl w:val="0"/>
          <w:numId w:val="13"/>
        </w:numPr>
      </w:pPr>
      <w:r>
        <w:t>Add Agentic AI first to bounded knowledge, triage and drafting tasks; expand tool authority only after evaluation and approval evidence.</w:t>
      </w:r>
    </w:p>
    <w:p>
      <w:pPr>
        <w:pStyle w:val="ListNumber"/>
        <w:keepLines/>
        <w:numPr>
          <w:ilvl w:val="0"/>
          <w:numId w:val="13"/>
        </w:numPr>
      </w:pPr>
      <w:r>
        <w:t>Create partner/marketplace capability only after API stability, tenant isolation, support processes and commercial governance are mature.</w:t>
      </w:r>
    </w:p>
    <w:p>
      <w:pPr>
        <w:pStyle w:val="Heading2"/>
      </w:pPr>
      <w:r>
        <w:t>Roadmap dependencies</w:t>
      </w:r>
    </w:p>
    <w:p>
      <w:pPr>
        <w:pStyle w:val="ListBullet"/>
        <w:keepLines/>
      </w:pPr>
      <w:r>
        <w:rPr>
          <w:b/>
        </w:rPr>
        <w:t xml:space="preserve">Legal and identity: </w:t>
      </w:r>
      <w:r>
        <w:t>Verified corporate records, IP assignments, client terms, privacy documents and Academy registration details.</w:t>
      </w:r>
    </w:p>
    <w:p>
      <w:pPr>
        <w:pStyle w:val="ListBullet"/>
        <w:keepLines/>
      </w:pPr>
      <w:r>
        <w:rPr>
          <w:b/>
        </w:rPr>
        <w:t xml:space="preserve">Platform: </w:t>
      </w:r>
      <w:r>
        <w:t>RME identity, tenant, master-record, audit, notification, commercial and lifecycle contracts before multiple modules.</w:t>
      </w:r>
    </w:p>
    <w:p>
      <w:pPr>
        <w:pStyle w:val="ListBullet"/>
        <w:keepLines/>
      </w:pPr>
      <w:r>
        <w:rPr>
          <w:b/>
        </w:rPr>
        <w:t xml:space="preserve">Operations: </w:t>
      </w:r>
      <w:r>
        <w:t>CRM, finance, support, asset and knowledge records before rapid acquisition.</w:t>
      </w:r>
    </w:p>
    <w:p>
      <w:pPr>
        <w:pStyle w:val="ListBullet"/>
        <w:keepLines/>
      </w:pPr>
      <w:r>
        <w:rPr>
          <w:b/>
        </w:rPr>
        <w:t xml:space="preserve">Trust: </w:t>
      </w:r>
      <w:r>
        <w:t>Security baseline, privacy governance, incident response and restore-tested backup before production data.</w:t>
      </w:r>
    </w:p>
    <w:p>
      <w:pPr>
        <w:pStyle w:val="ListBullet"/>
        <w:keepLines/>
      </w:pPr>
      <w:r>
        <w:rPr>
          <w:b/>
        </w:rPr>
        <w:t xml:space="preserve">Commercial: </w:t>
      </w:r>
      <w:r>
        <w:t>Pricing research, unit economics, implementation playbooks, partner terms and customer-success ownership.</w:t>
      </w:r>
    </w:p>
    <w:p>
      <w:pPr>
        <w:pStyle w:val="ListBullet"/>
        <w:keepLines/>
      </w:pPr>
      <w:r>
        <w:rPr>
          <w:b/>
        </w:rPr>
        <w:t xml:space="preserve">People: </w:t>
      </w:r>
      <w:r>
        <w:t>Senior product/engineering leadership, QA, implementation and service capacity; Academy used as a controlled talent pipeline.</w:t>
      </w:r>
    </w:p>
    <w:p>
      <w:pPr>
        <w:pStyle w:val="LeadCallout"/>
      </w:pPr>
      <w:r>
        <w:t>SENTINEL AI POSITION: Rihuum Sentinel AI is the cybersecurity implementation of governed RIA. It may classify, correlate, explain and prepare bounded response actions; it cannot expand scope, alter evidence, accept risk or perform irreversible autonomous actions.</w:t>
      </w:r>
    </w:p>
    <w:p>
      <w:bookmarkStart w:id="10" w:name="sec10"/>
      <w:pPr>
        <w:pStyle w:val="Heading1"/>
        <w:keepNext/>
        <w:pageBreakBefore/>
      </w:pPr>
      <w:r>
        <w:t>SECTION 10 | AI, Machine Learning, Data Science, and Automation Strategy</w:t>
      </w:r>
      <w:bookmarkEnd w:id="10"/>
    </w:p>
    <w:p>
      <w:pPr>
        <w:pStyle w:val="LeadCallout"/>
        <w:shd w:fill="F4F6F9"/>
        <w:pBdr>
          <w:left w:val="single" w:sz="18" w:space="8" w:color="C99A2E"/>
        </w:pBdr>
      </w:pPr>
      <w:r>
        <w:rPr>
          <w:b/>
          <w:color w:val="102A43"/>
        </w:rPr>
        <w:t xml:space="preserve">AI policy: </w:t>
      </w:r>
      <w:r>
        <w:t>Rihuum will use AI only for an authorised purpose with measurable value, approved data, proportionate human oversight, constrained tools, evaluation evidence, monitoring and a safe way to stop or reverse actions.</w:t>
      </w:r>
    </w:p>
    <w:p>
      <w:pPr>
        <w:pStyle w:val="Heading2"/>
      </w:pPr>
      <w:r>
        <w:t>Rihuum Intelligence Architecture (RIA)</w:t>
      </w:r>
    </w:p>
    <w:p>
      <w:r>
        <w:t>RIA is the cross-product control plane for artificial intelligence. It integrates through RME and must use RME identity, tenancy, master data, policies, entitlements, tool/action permissions, approvals and audit. Business modules must not connect independently to models, give agents unrestricted credentials or permit RIA to bypass RME controls. RIA separates business intent from model/provider choice and provides common controls for model routing, knowledge retrieval, prompt/instruction management, tools, memory, approvals, evaluation, audit and cost.</w:t>
      </w:r>
    </w:p>
    <w:p>
      <w:pPr>
        <w:pStyle w:val="Caption"/>
      </w:pPr>
      <w:r>
        <w:t>Table 18. RIA components and minimum controls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750"/>
        <w:gridCol w:w="3540"/>
        <w:gridCol w:w="4070"/>
      </w:tblGrid>
      <w:tr>
        <w:trPr>
          <w:tblHeader w:val="true"/>
          <w:cantSplit/>
        </w:trPr>
        <w:tc>
          <w:tcPr>
            <w:tcW w:type="dxa" w:w="1750"/>
            <w:vAlign w:val="center"/>
            <w:shd w:fill="F2F4F7"/>
            <w:tcMar>
              <w:top w:w="80" w:type="dxa"/>
              <w:start w:w="120" w:type="dxa"/>
              <w:bottom w:w="80" w:type="dxa"/>
              <w:end w:w="120" w:type="dxa"/>
            </w:tcMar>
          </w:tcPr>
          <w:p>
            <w:pPr>
              <w:spacing w:before="0" w:after="0"/>
              <w:jc w:val="center"/>
            </w:pPr>
            <w:r>
              <w:rPr>
                <w:b/>
                <w:color w:val="102A43"/>
                <w:sz w:val="17"/>
              </w:rPr>
              <w:t>Component</w:t>
            </w:r>
          </w:p>
        </w:tc>
        <w:tc>
          <w:tcPr>
            <w:tcW w:type="dxa" w:w="3540"/>
            <w:vAlign w:val="center"/>
            <w:shd w:fill="F2F4F7"/>
            <w:tcMar>
              <w:top w:w="80" w:type="dxa"/>
              <w:start w:w="120" w:type="dxa"/>
              <w:bottom w:w="80" w:type="dxa"/>
              <w:end w:w="120" w:type="dxa"/>
            </w:tcMar>
          </w:tcPr>
          <w:p>
            <w:pPr>
              <w:spacing w:before="0" w:after="0"/>
              <w:jc w:val="center"/>
            </w:pPr>
            <w:r>
              <w:rPr>
                <w:b/>
                <w:color w:val="102A43"/>
                <w:sz w:val="17"/>
              </w:rPr>
              <w:t>Purpose</w:t>
            </w:r>
          </w:p>
        </w:tc>
        <w:tc>
          <w:tcPr>
            <w:tcW w:type="dxa" w:w="4070"/>
            <w:vAlign w:val="center"/>
            <w:shd w:fill="F2F4F7"/>
            <w:tcMar>
              <w:top w:w="80" w:type="dxa"/>
              <w:start w:w="120" w:type="dxa"/>
              <w:bottom w:w="80" w:type="dxa"/>
              <w:end w:w="120" w:type="dxa"/>
            </w:tcMar>
          </w:tcPr>
          <w:p>
            <w:pPr>
              <w:spacing w:before="0" w:after="0"/>
              <w:jc w:val="center"/>
            </w:pPr>
            <w:r>
              <w:rPr>
                <w:b/>
                <w:color w:val="102A43"/>
                <w:sz w:val="17"/>
              </w:rPr>
              <w:t>Minimum control</w:t>
            </w:r>
          </w:p>
        </w:tc>
      </w:tr>
      <w:tr>
        <w:trPr>
          <w:cantSplit/>
        </w:trPr>
        <w:tc>
          <w:tcPr>
            <w:tcW w:type="dxa" w:w="1750"/>
            <w:vAlign w:val="center"/>
            <w:tcMar>
              <w:top w:w="80" w:type="dxa"/>
              <w:start w:w="120" w:type="dxa"/>
              <w:bottom w:w="80" w:type="dxa"/>
              <w:end w:w="120" w:type="dxa"/>
            </w:tcMar>
          </w:tcPr>
          <w:p>
            <w:pPr>
              <w:spacing w:before="0" w:after="20" w:line="252" w:lineRule="auto"/>
              <w:jc w:val="left"/>
            </w:pPr>
            <w:r>
              <w:rPr>
                <w:color w:val="1D2733"/>
                <w:sz w:val="16"/>
              </w:rPr>
              <w:t>Model gateway</w:t>
            </w:r>
          </w:p>
        </w:tc>
        <w:tc>
          <w:tcPr>
            <w:tcW w:type="dxa" w:w="3540"/>
            <w:vAlign w:val="center"/>
            <w:tcMar>
              <w:top w:w="80" w:type="dxa"/>
              <w:start w:w="120" w:type="dxa"/>
              <w:bottom w:w="80" w:type="dxa"/>
              <w:end w:w="120" w:type="dxa"/>
            </w:tcMar>
          </w:tcPr>
          <w:p>
            <w:pPr>
              <w:spacing w:before="0" w:after="20" w:line="252" w:lineRule="auto"/>
              <w:jc w:val="left"/>
            </w:pPr>
            <w:r>
              <w:rPr>
                <w:color w:val="1D2733"/>
                <w:sz w:val="16"/>
              </w:rPr>
              <w:t>Route approved requests across models/providers</w:t>
            </w:r>
          </w:p>
        </w:tc>
        <w:tc>
          <w:tcPr>
            <w:tcW w:type="dxa" w:w="4070"/>
            <w:vAlign w:val="center"/>
            <w:tcMar>
              <w:top w:w="80" w:type="dxa"/>
              <w:start w:w="120" w:type="dxa"/>
              <w:bottom w:w="80" w:type="dxa"/>
              <w:end w:w="120" w:type="dxa"/>
            </w:tcMar>
          </w:tcPr>
          <w:p>
            <w:pPr>
              <w:spacing w:before="0" w:after="20" w:line="252" w:lineRule="auto"/>
              <w:jc w:val="left"/>
            </w:pPr>
            <w:r>
              <w:rPr>
                <w:color w:val="1D2733"/>
                <w:sz w:val="16"/>
              </w:rPr>
              <w:t>Allowlist, purpose tags, data rules, rate/cost limits, logging and failover</w:t>
            </w:r>
          </w:p>
        </w:tc>
      </w:tr>
      <w:tr>
        <w:trPr>
          <w:cantSplit/>
        </w:trPr>
        <w:tc>
          <w:tcPr>
            <w:tcW w:type="dxa" w:w="1750"/>
            <w:vAlign w:val="center"/>
            <w:shd w:fill="FAFBFC"/>
            <w:tcMar>
              <w:top w:w="80" w:type="dxa"/>
              <w:start w:w="120" w:type="dxa"/>
              <w:bottom w:w="80" w:type="dxa"/>
              <w:end w:w="120" w:type="dxa"/>
            </w:tcMar>
          </w:tcPr>
          <w:p>
            <w:pPr>
              <w:spacing w:before="0" w:after="20" w:line="252" w:lineRule="auto"/>
              <w:jc w:val="left"/>
            </w:pPr>
            <w:r>
              <w:rPr>
                <w:color w:val="1D2733"/>
                <w:sz w:val="16"/>
              </w:rPr>
              <w:t>Knowledge fabric</w:t>
            </w:r>
          </w:p>
        </w:tc>
        <w:tc>
          <w:tcPr>
            <w:tcW w:type="dxa" w:w="3540"/>
            <w:vAlign w:val="center"/>
            <w:shd w:fill="FAFBFC"/>
            <w:tcMar>
              <w:top w:w="80" w:type="dxa"/>
              <w:start w:w="120" w:type="dxa"/>
              <w:bottom w:w="80" w:type="dxa"/>
              <w:end w:w="120" w:type="dxa"/>
            </w:tcMar>
          </w:tcPr>
          <w:p>
            <w:pPr>
              <w:spacing w:before="0" w:after="20" w:line="252" w:lineRule="auto"/>
              <w:jc w:val="left"/>
            </w:pPr>
            <w:r>
              <w:rPr>
                <w:color w:val="1D2733"/>
                <w:sz w:val="16"/>
              </w:rPr>
              <w:t>Retrieve governed enterprise knowledge</w:t>
            </w:r>
          </w:p>
        </w:tc>
        <w:tc>
          <w:tcPr>
            <w:tcW w:type="dxa" w:w="4070"/>
            <w:vAlign w:val="center"/>
            <w:shd w:fill="FAFBFC"/>
            <w:tcMar>
              <w:top w:w="80" w:type="dxa"/>
              <w:start w:w="120" w:type="dxa"/>
              <w:bottom w:w="80" w:type="dxa"/>
              <w:end w:w="120" w:type="dxa"/>
            </w:tcMar>
          </w:tcPr>
          <w:p>
            <w:pPr>
              <w:spacing w:before="0" w:after="20" w:line="252" w:lineRule="auto"/>
              <w:jc w:val="left"/>
            </w:pPr>
            <w:r>
              <w:rPr>
                <w:color w:val="1D2733"/>
                <w:sz w:val="16"/>
              </w:rPr>
              <w:t>Source ownership, access filtering, version/date, citation, retention and removal workflow</w:t>
            </w:r>
          </w:p>
        </w:tc>
      </w:tr>
      <w:tr>
        <w:trPr>
          <w:cantSplit/>
        </w:trPr>
        <w:tc>
          <w:tcPr>
            <w:tcW w:type="dxa" w:w="1750"/>
            <w:vAlign w:val="center"/>
            <w:tcMar>
              <w:top w:w="80" w:type="dxa"/>
              <w:start w:w="120" w:type="dxa"/>
              <w:bottom w:w="80" w:type="dxa"/>
              <w:end w:w="120" w:type="dxa"/>
            </w:tcMar>
          </w:tcPr>
          <w:p>
            <w:pPr>
              <w:spacing w:before="0" w:after="20" w:line="252" w:lineRule="auto"/>
              <w:jc w:val="left"/>
            </w:pPr>
            <w:r>
              <w:rPr>
                <w:color w:val="1D2733"/>
                <w:sz w:val="16"/>
              </w:rPr>
              <w:t>Agent orchestrator</w:t>
            </w:r>
          </w:p>
        </w:tc>
        <w:tc>
          <w:tcPr>
            <w:tcW w:type="dxa" w:w="3540"/>
            <w:vAlign w:val="center"/>
            <w:tcMar>
              <w:top w:w="80" w:type="dxa"/>
              <w:start w:w="120" w:type="dxa"/>
              <w:bottom w:w="80" w:type="dxa"/>
              <w:end w:w="120" w:type="dxa"/>
            </w:tcMar>
          </w:tcPr>
          <w:p>
            <w:pPr>
              <w:spacing w:before="0" w:after="20" w:line="252" w:lineRule="auto"/>
              <w:jc w:val="left"/>
            </w:pPr>
            <w:r>
              <w:rPr>
                <w:color w:val="1D2733"/>
                <w:sz w:val="16"/>
              </w:rPr>
              <w:t>Plan and execute bounded workflows</w:t>
            </w:r>
          </w:p>
        </w:tc>
        <w:tc>
          <w:tcPr>
            <w:tcW w:type="dxa" w:w="4070"/>
            <w:vAlign w:val="center"/>
            <w:tcMar>
              <w:top w:w="80" w:type="dxa"/>
              <w:start w:w="120" w:type="dxa"/>
              <w:bottom w:w="80" w:type="dxa"/>
              <w:end w:w="120" w:type="dxa"/>
            </w:tcMar>
          </w:tcPr>
          <w:p>
            <w:pPr>
              <w:spacing w:before="0" w:after="20" w:line="252" w:lineRule="auto"/>
              <w:jc w:val="left"/>
            </w:pPr>
            <w:r>
              <w:rPr>
                <w:color w:val="1D2733"/>
                <w:sz w:val="16"/>
              </w:rPr>
              <w:t>Explicit goal, step/time/cost limits, approved tools, state control and termination</w:t>
            </w:r>
          </w:p>
        </w:tc>
      </w:tr>
      <w:tr>
        <w:trPr>
          <w:cantSplit/>
        </w:trPr>
        <w:tc>
          <w:tcPr>
            <w:tcW w:type="dxa" w:w="1750"/>
            <w:vAlign w:val="center"/>
            <w:shd w:fill="FAFBFC"/>
            <w:tcMar>
              <w:top w:w="80" w:type="dxa"/>
              <w:start w:w="120" w:type="dxa"/>
              <w:bottom w:w="80" w:type="dxa"/>
              <w:end w:w="120" w:type="dxa"/>
            </w:tcMar>
          </w:tcPr>
          <w:p>
            <w:pPr>
              <w:spacing w:before="0" w:after="20" w:line="252" w:lineRule="auto"/>
              <w:jc w:val="left"/>
            </w:pPr>
            <w:r>
              <w:rPr>
                <w:color w:val="1D2733"/>
                <w:sz w:val="16"/>
              </w:rPr>
              <w:t>Tool registry</w:t>
            </w:r>
          </w:p>
        </w:tc>
        <w:tc>
          <w:tcPr>
            <w:tcW w:type="dxa" w:w="3540"/>
            <w:vAlign w:val="center"/>
            <w:shd w:fill="FAFBFC"/>
            <w:tcMar>
              <w:top w:w="80" w:type="dxa"/>
              <w:start w:w="120" w:type="dxa"/>
              <w:bottom w:w="80" w:type="dxa"/>
              <w:end w:w="120" w:type="dxa"/>
            </w:tcMar>
          </w:tcPr>
          <w:p>
            <w:pPr>
              <w:spacing w:before="0" w:after="20" w:line="252" w:lineRule="auto"/>
              <w:jc w:val="left"/>
            </w:pPr>
            <w:r>
              <w:rPr>
                <w:color w:val="1D2733"/>
                <w:sz w:val="16"/>
              </w:rPr>
              <w:t>Expose business actions to agents</w:t>
            </w:r>
          </w:p>
        </w:tc>
        <w:tc>
          <w:tcPr>
            <w:tcW w:type="dxa" w:w="4070"/>
            <w:vAlign w:val="center"/>
            <w:shd w:fill="FAFBFC"/>
            <w:tcMar>
              <w:top w:w="80" w:type="dxa"/>
              <w:start w:w="120" w:type="dxa"/>
              <w:bottom w:w="80" w:type="dxa"/>
              <w:end w:w="120" w:type="dxa"/>
            </w:tcMar>
          </w:tcPr>
          <w:p>
            <w:pPr>
              <w:spacing w:before="0" w:after="20" w:line="252" w:lineRule="auto"/>
              <w:jc w:val="left"/>
            </w:pPr>
            <w:r>
              <w:rPr>
                <w:color w:val="1D2733"/>
                <w:sz w:val="16"/>
              </w:rPr>
              <w:t>Schema validation, least privilege, environment scope, approval class and audit</w:t>
            </w:r>
          </w:p>
        </w:tc>
      </w:tr>
      <w:tr>
        <w:trPr>
          <w:cantSplit/>
        </w:trPr>
        <w:tc>
          <w:tcPr>
            <w:tcW w:type="dxa" w:w="1750"/>
            <w:vAlign w:val="center"/>
            <w:tcMar>
              <w:top w:w="80" w:type="dxa"/>
              <w:start w:w="120" w:type="dxa"/>
              <w:bottom w:w="80" w:type="dxa"/>
              <w:end w:w="120" w:type="dxa"/>
            </w:tcMar>
          </w:tcPr>
          <w:p>
            <w:pPr>
              <w:spacing w:before="0" w:after="20" w:line="252" w:lineRule="auto"/>
              <w:jc w:val="left"/>
            </w:pPr>
            <w:r>
              <w:rPr>
                <w:color w:val="1D2733"/>
                <w:sz w:val="16"/>
              </w:rPr>
              <w:t>Memory service</w:t>
            </w:r>
          </w:p>
        </w:tc>
        <w:tc>
          <w:tcPr>
            <w:tcW w:type="dxa" w:w="3540"/>
            <w:vAlign w:val="center"/>
            <w:tcMar>
              <w:top w:w="80" w:type="dxa"/>
              <w:start w:w="120" w:type="dxa"/>
              <w:bottom w:w="80" w:type="dxa"/>
              <w:end w:w="120" w:type="dxa"/>
            </w:tcMar>
          </w:tcPr>
          <w:p>
            <w:pPr>
              <w:spacing w:before="0" w:after="20" w:line="252" w:lineRule="auto"/>
              <w:jc w:val="left"/>
            </w:pPr>
            <w:r>
              <w:rPr>
                <w:color w:val="1D2733"/>
                <w:sz w:val="16"/>
              </w:rPr>
              <w:t>Retain authorised context</w:t>
            </w:r>
          </w:p>
        </w:tc>
        <w:tc>
          <w:tcPr>
            <w:tcW w:type="dxa" w:w="4070"/>
            <w:vAlign w:val="center"/>
            <w:tcMar>
              <w:top w:w="80" w:type="dxa"/>
              <w:start w:w="120" w:type="dxa"/>
              <w:bottom w:w="80" w:type="dxa"/>
              <w:end w:w="120" w:type="dxa"/>
            </w:tcMar>
          </w:tcPr>
          <w:p>
            <w:pPr>
              <w:spacing w:before="0" w:after="20" w:line="252" w:lineRule="auto"/>
              <w:jc w:val="left"/>
            </w:pPr>
            <w:r>
              <w:rPr>
                <w:color w:val="1D2733"/>
                <w:sz w:val="16"/>
              </w:rPr>
              <w:t>Purpose, tenant isolation, poisoning controls, expiration, correction and deletion</w:t>
            </w:r>
          </w:p>
        </w:tc>
      </w:tr>
      <w:tr>
        <w:trPr>
          <w:cantSplit/>
        </w:trPr>
        <w:tc>
          <w:tcPr>
            <w:tcW w:type="dxa" w:w="1750"/>
            <w:vAlign w:val="center"/>
            <w:shd w:fill="FAFBFC"/>
            <w:tcMar>
              <w:top w:w="80" w:type="dxa"/>
              <w:start w:w="120" w:type="dxa"/>
              <w:bottom w:w="80" w:type="dxa"/>
              <w:end w:w="120" w:type="dxa"/>
            </w:tcMar>
          </w:tcPr>
          <w:p>
            <w:pPr>
              <w:spacing w:before="0" w:after="20" w:line="252" w:lineRule="auto"/>
              <w:jc w:val="left"/>
            </w:pPr>
            <w:r>
              <w:rPr>
                <w:color w:val="1D2733"/>
                <w:sz w:val="16"/>
              </w:rPr>
              <w:t>Policy and approval</w:t>
            </w:r>
          </w:p>
        </w:tc>
        <w:tc>
          <w:tcPr>
            <w:tcW w:type="dxa" w:w="3540"/>
            <w:vAlign w:val="center"/>
            <w:shd w:fill="FAFBFC"/>
            <w:tcMar>
              <w:top w:w="80" w:type="dxa"/>
              <w:start w:w="120" w:type="dxa"/>
              <w:bottom w:w="80" w:type="dxa"/>
              <w:end w:w="120" w:type="dxa"/>
            </w:tcMar>
          </w:tcPr>
          <w:p>
            <w:pPr>
              <w:spacing w:before="0" w:after="20" w:line="252" w:lineRule="auto"/>
              <w:jc w:val="left"/>
            </w:pPr>
            <w:r>
              <w:rPr>
                <w:color w:val="1D2733"/>
                <w:sz w:val="16"/>
              </w:rPr>
              <w:t>Enforce human and system controls</w:t>
            </w:r>
          </w:p>
        </w:tc>
        <w:tc>
          <w:tcPr>
            <w:tcW w:type="dxa" w:w="4070"/>
            <w:vAlign w:val="center"/>
            <w:shd w:fill="FAFBFC"/>
            <w:tcMar>
              <w:top w:w="80" w:type="dxa"/>
              <w:start w:w="120" w:type="dxa"/>
              <w:bottom w:w="80" w:type="dxa"/>
              <w:end w:w="120" w:type="dxa"/>
            </w:tcMar>
          </w:tcPr>
          <w:p>
            <w:pPr>
              <w:spacing w:before="0" w:after="20" w:line="252" w:lineRule="auto"/>
              <w:jc w:val="left"/>
            </w:pPr>
            <w:r>
              <w:rPr>
                <w:color w:val="1D2733"/>
                <w:sz w:val="16"/>
              </w:rPr>
              <w:t>Risk tier, separation of duties, transaction thresholds and deny-by-default</w:t>
            </w:r>
          </w:p>
        </w:tc>
      </w:tr>
      <w:tr>
        <w:trPr>
          <w:cantSplit/>
        </w:trPr>
        <w:tc>
          <w:tcPr>
            <w:tcW w:type="dxa" w:w="1750"/>
            <w:vAlign w:val="center"/>
            <w:tcMar>
              <w:top w:w="80" w:type="dxa"/>
              <w:start w:w="120" w:type="dxa"/>
              <w:bottom w:w="80" w:type="dxa"/>
              <w:end w:w="120" w:type="dxa"/>
            </w:tcMar>
          </w:tcPr>
          <w:p>
            <w:pPr>
              <w:spacing w:before="0" w:after="20" w:line="252" w:lineRule="auto"/>
              <w:jc w:val="left"/>
            </w:pPr>
            <w:r>
              <w:rPr>
                <w:color w:val="1D2733"/>
                <w:sz w:val="16"/>
              </w:rPr>
              <w:t>Evaluation service</w:t>
            </w:r>
          </w:p>
        </w:tc>
        <w:tc>
          <w:tcPr>
            <w:tcW w:type="dxa" w:w="3540"/>
            <w:vAlign w:val="center"/>
            <w:tcMar>
              <w:top w:w="80" w:type="dxa"/>
              <w:start w:w="120" w:type="dxa"/>
              <w:bottom w:w="80" w:type="dxa"/>
              <w:end w:w="120" w:type="dxa"/>
            </w:tcMar>
          </w:tcPr>
          <w:p>
            <w:pPr>
              <w:spacing w:before="0" w:after="20" w:line="252" w:lineRule="auto"/>
              <w:jc w:val="left"/>
            </w:pPr>
            <w:r>
              <w:rPr>
                <w:color w:val="1D2733"/>
                <w:sz w:val="16"/>
              </w:rPr>
              <w:t>Measure quality, safety and task outcomes</w:t>
            </w:r>
          </w:p>
        </w:tc>
        <w:tc>
          <w:tcPr>
            <w:tcW w:type="dxa" w:w="4070"/>
            <w:vAlign w:val="center"/>
            <w:tcMar>
              <w:top w:w="80" w:type="dxa"/>
              <w:start w:w="120" w:type="dxa"/>
              <w:bottom w:w="80" w:type="dxa"/>
              <w:end w:w="120" w:type="dxa"/>
            </w:tcMar>
          </w:tcPr>
          <w:p>
            <w:pPr>
              <w:spacing w:before="0" w:after="20" w:line="252" w:lineRule="auto"/>
              <w:jc w:val="left"/>
            </w:pPr>
            <w:r>
              <w:rPr>
                <w:color w:val="1D2733"/>
                <w:sz w:val="16"/>
              </w:rPr>
              <w:t>Versioned datasets, test suites, regression thresholds and sign-off</w:t>
            </w:r>
          </w:p>
        </w:tc>
      </w:tr>
      <w:tr>
        <w:trPr>
          <w:cantSplit/>
        </w:trPr>
        <w:tc>
          <w:tcPr>
            <w:tcW w:type="dxa" w:w="1750"/>
            <w:vAlign w:val="center"/>
            <w:shd w:fill="FAFBFC"/>
            <w:tcMar>
              <w:top w:w="80" w:type="dxa"/>
              <w:start w:w="120" w:type="dxa"/>
              <w:bottom w:w="80" w:type="dxa"/>
              <w:end w:w="120" w:type="dxa"/>
            </w:tcMar>
          </w:tcPr>
          <w:p>
            <w:pPr>
              <w:spacing w:before="0" w:after="20" w:line="252" w:lineRule="auto"/>
              <w:jc w:val="left"/>
            </w:pPr>
            <w:r>
              <w:rPr>
                <w:color w:val="1D2733"/>
                <w:sz w:val="16"/>
              </w:rPr>
              <w:t>Observability</w:t>
            </w:r>
          </w:p>
        </w:tc>
        <w:tc>
          <w:tcPr>
            <w:tcW w:type="dxa" w:w="3540"/>
            <w:vAlign w:val="center"/>
            <w:shd w:fill="FAFBFC"/>
            <w:tcMar>
              <w:top w:w="80" w:type="dxa"/>
              <w:start w:w="120" w:type="dxa"/>
              <w:bottom w:w="80" w:type="dxa"/>
              <w:end w:w="120" w:type="dxa"/>
            </w:tcMar>
          </w:tcPr>
          <w:p>
            <w:pPr>
              <w:spacing w:before="0" w:after="20" w:line="252" w:lineRule="auto"/>
              <w:jc w:val="left"/>
            </w:pPr>
            <w:r>
              <w:rPr>
                <w:color w:val="1D2733"/>
                <w:sz w:val="16"/>
              </w:rPr>
              <w:t>Trace decisions, cost, errors and actions</w:t>
            </w:r>
          </w:p>
        </w:tc>
        <w:tc>
          <w:tcPr>
            <w:tcW w:type="dxa" w:w="4070"/>
            <w:vAlign w:val="center"/>
            <w:shd w:fill="FAFBFC"/>
            <w:tcMar>
              <w:top w:w="80" w:type="dxa"/>
              <w:start w:w="120" w:type="dxa"/>
              <w:bottom w:w="80" w:type="dxa"/>
              <w:end w:w="120" w:type="dxa"/>
            </w:tcMar>
          </w:tcPr>
          <w:p>
            <w:pPr>
              <w:spacing w:before="0" w:after="20" w:line="252" w:lineRule="auto"/>
              <w:jc w:val="left"/>
            </w:pPr>
            <w:r>
              <w:rPr>
                <w:color w:val="1D2733"/>
                <w:sz w:val="16"/>
              </w:rPr>
              <w:t>Prompt/model/tool versions, source links, latency, spend, incidents and user feedback</w:t>
            </w:r>
          </w:p>
        </w:tc>
      </w:tr>
    </w:tbl>
    <w:p>
      <w:pPr>
        <w:pStyle w:val="Heading2"/>
      </w:pPr>
      <w:r>
        <w:t>Agent autonomy levels</w:t>
      </w:r>
    </w:p>
    <w:p>
      <w:pPr>
        <w:pStyle w:val="Caption"/>
      </w:pPr>
      <w:r>
        <w:t>Table 19. Authority model for Rihuum Agentic AI</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650"/>
        <w:gridCol w:w="4360"/>
        <w:gridCol w:w="3350"/>
      </w:tblGrid>
      <w:tr>
        <w:trPr>
          <w:tblHeader w:val="true"/>
          <w:cantSplit/>
        </w:trPr>
        <w:tc>
          <w:tcPr>
            <w:tcW w:type="dxa" w:w="1650"/>
            <w:vAlign w:val="center"/>
            <w:shd w:fill="F2F4F7"/>
            <w:tcMar>
              <w:top w:w="80" w:type="dxa"/>
              <w:start w:w="120" w:type="dxa"/>
              <w:bottom w:w="80" w:type="dxa"/>
              <w:end w:w="120" w:type="dxa"/>
            </w:tcMar>
          </w:tcPr>
          <w:p>
            <w:pPr>
              <w:spacing w:before="0" w:after="0"/>
              <w:jc w:val="center"/>
            </w:pPr>
            <w:r>
              <w:rPr>
                <w:b/>
                <w:color w:val="102A43"/>
                <w:sz w:val="18"/>
              </w:rPr>
              <w:t>Level</w:t>
            </w:r>
          </w:p>
        </w:tc>
        <w:tc>
          <w:tcPr>
            <w:tcW w:type="dxa" w:w="4360"/>
            <w:vAlign w:val="center"/>
            <w:shd w:fill="F2F4F7"/>
            <w:tcMar>
              <w:top w:w="80" w:type="dxa"/>
              <w:start w:w="120" w:type="dxa"/>
              <w:bottom w:w="80" w:type="dxa"/>
              <w:end w:w="120" w:type="dxa"/>
            </w:tcMar>
          </w:tcPr>
          <w:p>
            <w:pPr>
              <w:spacing w:before="0" w:after="0"/>
              <w:jc w:val="left"/>
            </w:pPr>
            <w:r>
              <w:rPr>
                <w:b/>
                <w:color w:val="102A43"/>
                <w:sz w:val="18"/>
              </w:rPr>
              <w:t>Permitted behaviour</w:t>
            </w:r>
          </w:p>
        </w:tc>
        <w:tc>
          <w:tcPr>
            <w:tcW w:type="dxa" w:w="3350"/>
            <w:vAlign w:val="center"/>
            <w:shd w:fill="F2F4F7"/>
            <w:tcMar>
              <w:top w:w="80" w:type="dxa"/>
              <w:start w:w="120" w:type="dxa"/>
              <w:bottom w:w="80" w:type="dxa"/>
              <w:end w:w="120" w:type="dxa"/>
            </w:tcMar>
          </w:tcPr>
          <w:p>
            <w:pPr>
              <w:spacing w:before="0" w:after="0"/>
              <w:jc w:val="center"/>
            </w:pPr>
            <w:r>
              <w:rPr>
                <w:b/>
                <w:color w:val="102A43"/>
                <w:sz w:val="18"/>
              </w:rPr>
              <w:t>Typical control</w:t>
            </w:r>
          </w:p>
        </w:tc>
      </w:tr>
      <w:tr>
        <w:trPr>
          <w:cantSplit/>
        </w:trPr>
        <w:tc>
          <w:tcPr>
            <w:tcW w:type="dxa" w:w="1650"/>
            <w:vAlign w:val="center"/>
            <w:tcMar>
              <w:top w:w="80" w:type="dxa"/>
              <w:start w:w="120" w:type="dxa"/>
              <w:bottom w:w="80" w:type="dxa"/>
              <w:end w:w="120" w:type="dxa"/>
            </w:tcMar>
          </w:tcPr>
          <w:p>
            <w:pPr>
              <w:spacing w:before="0" w:after="20" w:line="252" w:lineRule="auto"/>
              <w:jc w:val="left"/>
            </w:pPr>
            <w:r>
              <w:rPr>
                <w:color w:val="1D2733"/>
                <w:sz w:val="17"/>
              </w:rPr>
              <w:t>0 - Inform</w:t>
            </w:r>
          </w:p>
        </w:tc>
        <w:tc>
          <w:tcPr>
            <w:tcW w:type="dxa" w:w="4360"/>
            <w:vAlign w:val="center"/>
            <w:tcMar>
              <w:top w:w="80" w:type="dxa"/>
              <w:start w:w="120" w:type="dxa"/>
              <w:bottom w:w="80" w:type="dxa"/>
              <w:end w:w="120" w:type="dxa"/>
            </w:tcMar>
          </w:tcPr>
          <w:p>
            <w:pPr>
              <w:spacing w:before="0" w:after="20" w:line="252" w:lineRule="auto"/>
              <w:jc w:val="left"/>
            </w:pPr>
            <w:r>
              <w:rPr>
                <w:color w:val="1D2733"/>
                <w:sz w:val="17"/>
              </w:rPr>
              <w:t>Search, summarise, explain and answer without changing a system</w:t>
            </w:r>
          </w:p>
        </w:tc>
        <w:tc>
          <w:tcPr>
            <w:tcW w:type="dxa" w:w="3350"/>
            <w:vAlign w:val="center"/>
            <w:tcMar>
              <w:top w:w="80" w:type="dxa"/>
              <w:start w:w="120" w:type="dxa"/>
              <w:bottom w:w="80" w:type="dxa"/>
              <w:end w:w="120" w:type="dxa"/>
            </w:tcMar>
          </w:tcPr>
          <w:p>
            <w:pPr>
              <w:spacing w:before="0" w:after="20" w:line="252" w:lineRule="auto"/>
              <w:jc w:val="left"/>
            </w:pPr>
            <w:r>
              <w:rPr>
                <w:color w:val="1D2733"/>
                <w:sz w:val="17"/>
              </w:rPr>
              <w:t>Grounded sources, access controls, citations and feedback</w:t>
            </w:r>
          </w:p>
        </w:tc>
      </w:tr>
      <w:tr>
        <w:trPr>
          <w:cantSplit/>
        </w:trPr>
        <w:tc>
          <w:tcPr>
            <w:tcW w:type="dxa" w:w="1650"/>
            <w:vAlign w:val="center"/>
            <w:shd w:fill="FAFBFC"/>
            <w:tcMar>
              <w:top w:w="80" w:type="dxa"/>
              <w:start w:w="120" w:type="dxa"/>
              <w:bottom w:w="80" w:type="dxa"/>
              <w:end w:w="120" w:type="dxa"/>
            </w:tcMar>
          </w:tcPr>
          <w:p>
            <w:pPr>
              <w:spacing w:before="0" w:after="20" w:line="252" w:lineRule="auto"/>
              <w:jc w:val="left"/>
            </w:pPr>
            <w:r>
              <w:rPr>
                <w:color w:val="1D2733"/>
                <w:sz w:val="17"/>
              </w:rPr>
              <w:t>1 - Draft</w:t>
            </w:r>
          </w:p>
        </w:tc>
        <w:tc>
          <w:tcPr>
            <w:tcW w:type="dxa" w:w="4360"/>
            <w:vAlign w:val="center"/>
            <w:shd w:fill="FAFBFC"/>
            <w:tcMar>
              <w:top w:w="80" w:type="dxa"/>
              <w:start w:w="120" w:type="dxa"/>
              <w:bottom w:w="80" w:type="dxa"/>
              <w:end w:w="120" w:type="dxa"/>
            </w:tcMar>
          </w:tcPr>
          <w:p>
            <w:pPr>
              <w:spacing w:before="0" w:after="20" w:line="252" w:lineRule="auto"/>
              <w:jc w:val="left"/>
            </w:pPr>
            <w:r>
              <w:rPr>
                <w:color w:val="1D2733"/>
                <w:sz w:val="17"/>
              </w:rPr>
              <w:t>Prepare content, plans, tickets or transactions for a person</w:t>
            </w:r>
          </w:p>
        </w:tc>
        <w:tc>
          <w:tcPr>
            <w:tcW w:type="dxa" w:w="3350"/>
            <w:vAlign w:val="center"/>
            <w:shd w:fill="FAFBFC"/>
            <w:tcMar>
              <w:top w:w="80" w:type="dxa"/>
              <w:start w:w="120" w:type="dxa"/>
              <w:bottom w:w="80" w:type="dxa"/>
              <w:end w:w="120" w:type="dxa"/>
            </w:tcMar>
          </w:tcPr>
          <w:p>
            <w:pPr>
              <w:spacing w:before="0" w:after="20" w:line="252" w:lineRule="auto"/>
              <w:jc w:val="left"/>
            </w:pPr>
            <w:r>
              <w:rPr>
                <w:color w:val="1D2733"/>
                <w:sz w:val="17"/>
              </w:rPr>
              <w:t>Human review before any external or system effect</w:t>
            </w:r>
          </w:p>
        </w:tc>
      </w:tr>
      <w:tr>
        <w:trPr>
          <w:cantSplit/>
        </w:trPr>
        <w:tc>
          <w:tcPr>
            <w:tcW w:type="dxa" w:w="1650"/>
            <w:vAlign w:val="center"/>
            <w:tcMar>
              <w:top w:w="80" w:type="dxa"/>
              <w:start w:w="120" w:type="dxa"/>
              <w:bottom w:w="80" w:type="dxa"/>
              <w:end w:w="120" w:type="dxa"/>
            </w:tcMar>
          </w:tcPr>
          <w:p>
            <w:pPr>
              <w:spacing w:before="0" w:after="20" w:line="252" w:lineRule="auto"/>
              <w:jc w:val="left"/>
            </w:pPr>
            <w:r>
              <w:rPr>
                <w:color w:val="1D2733"/>
                <w:sz w:val="17"/>
              </w:rPr>
              <w:t>2 - Recommend</w:t>
            </w:r>
          </w:p>
        </w:tc>
        <w:tc>
          <w:tcPr>
            <w:tcW w:type="dxa" w:w="4360"/>
            <w:vAlign w:val="center"/>
            <w:tcMar>
              <w:top w:w="80" w:type="dxa"/>
              <w:start w:w="120" w:type="dxa"/>
              <w:bottom w:w="80" w:type="dxa"/>
              <w:end w:w="120" w:type="dxa"/>
            </w:tcMar>
          </w:tcPr>
          <w:p>
            <w:pPr>
              <w:spacing w:before="0" w:after="20" w:line="252" w:lineRule="auto"/>
              <w:jc w:val="left"/>
            </w:pPr>
            <w:r>
              <w:rPr>
                <w:color w:val="1D2733"/>
                <w:sz w:val="17"/>
              </w:rPr>
              <w:t>Compare options and recommend a decision</w:t>
            </w:r>
          </w:p>
        </w:tc>
        <w:tc>
          <w:tcPr>
            <w:tcW w:type="dxa" w:w="3350"/>
            <w:vAlign w:val="center"/>
            <w:tcMar>
              <w:top w:w="80" w:type="dxa"/>
              <w:start w:w="120" w:type="dxa"/>
              <w:bottom w:w="80" w:type="dxa"/>
              <w:end w:w="120" w:type="dxa"/>
            </w:tcMar>
          </w:tcPr>
          <w:p>
            <w:pPr>
              <w:spacing w:before="0" w:after="20" w:line="252" w:lineRule="auto"/>
              <w:jc w:val="left"/>
            </w:pPr>
            <w:r>
              <w:rPr>
                <w:color w:val="1D2733"/>
                <w:sz w:val="17"/>
              </w:rPr>
              <w:t>Named accountable decision-maker; rationale and evidence retained</w:t>
            </w:r>
          </w:p>
        </w:tc>
      </w:tr>
      <w:tr>
        <w:trPr>
          <w:cantSplit/>
        </w:trPr>
        <w:tc>
          <w:tcPr>
            <w:tcW w:type="dxa" w:w="1650"/>
            <w:vAlign w:val="center"/>
            <w:shd w:fill="FAFBFC"/>
            <w:tcMar>
              <w:top w:w="80" w:type="dxa"/>
              <w:start w:w="120" w:type="dxa"/>
              <w:bottom w:w="80" w:type="dxa"/>
              <w:end w:w="120" w:type="dxa"/>
            </w:tcMar>
          </w:tcPr>
          <w:p>
            <w:pPr>
              <w:spacing w:before="0" w:after="20" w:line="252" w:lineRule="auto"/>
              <w:jc w:val="left"/>
            </w:pPr>
            <w:r>
              <w:rPr>
                <w:color w:val="1D2733"/>
                <w:sz w:val="17"/>
              </w:rPr>
              <w:t>3 - Execute with approval</w:t>
            </w:r>
          </w:p>
        </w:tc>
        <w:tc>
          <w:tcPr>
            <w:tcW w:type="dxa" w:w="4360"/>
            <w:vAlign w:val="center"/>
            <w:shd w:fill="FAFBFC"/>
            <w:tcMar>
              <w:top w:w="80" w:type="dxa"/>
              <w:start w:w="120" w:type="dxa"/>
              <w:bottom w:w="80" w:type="dxa"/>
              <w:end w:w="120" w:type="dxa"/>
            </w:tcMar>
          </w:tcPr>
          <w:p>
            <w:pPr>
              <w:spacing w:before="0" w:after="20" w:line="252" w:lineRule="auto"/>
              <w:jc w:val="left"/>
            </w:pPr>
            <w:r>
              <w:rPr>
                <w:color w:val="1D2733"/>
                <w:sz w:val="17"/>
              </w:rPr>
              <w:t>Take a bounded action after explicit approval</w:t>
            </w:r>
          </w:p>
        </w:tc>
        <w:tc>
          <w:tcPr>
            <w:tcW w:type="dxa" w:w="3350"/>
            <w:vAlign w:val="center"/>
            <w:shd w:fill="FAFBFC"/>
            <w:tcMar>
              <w:top w:w="80" w:type="dxa"/>
              <w:start w:w="120" w:type="dxa"/>
              <w:bottom w:w="80" w:type="dxa"/>
              <w:end w:w="120" w:type="dxa"/>
            </w:tcMar>
          </w:tcPr>
          <w:p>
            <w:pPr>
              <w:spacing w:before="0" w:after="20" w:line="252" w:lineRule="auto"/>
              <w:jc w:val="left"/>
            </w:pPr>
            <w:r>
              <w:rPr>
                <w:color w:val="1D2733"/>
                <w:sz w:val="17"/>
              </w:rPr>
              <w:t>Least-privilege tool, strong confirmation, limits, idempotency and audit</w:t>
            </w:r>
          </w:p>
        </w:tc>
      </w:tr>
      <w:tr>
        <w:trPr>
          <w:cantSplit/>
        </w:trPr>
        <w:tc>
          <w:tcPr>
            <w:tcW w:type="dxa" w:w="1650"/>
            <w:vAlign w:val="center"/>
            <w:tcMar>
              <w:top w:w="80" w:type="dxa"/>
              <w:start w:w="120" w:type="dxa"/>
              <w:bottom w:w="80" w:type="dxa"/>
              <w:end w:w="120" w:type="dxa"/>
            </w:tcMar>
          </w:tcPr>
          <w:p>
            <w:pPr>
              <w:spacing w:before="0" w:after="20" w:line="252" w:lineRule="auto"/>
              <w:jc w:val="left"/>
            </w:pPr>
            <w:r>
              <w:rPr>
                <w:color w:val="1D2733"/>
                <w:sz w:val="17"/>
              </w:rPr>
              <w:t>4 - Execute within policy</w:t>
            </w:r>
          </w:p>
        </w:tc>
        <w:tc>
          <w:tcPr>
            <w:tcW w:type="dxa" w:w="4360"/>
            <w:vAlign w:val="center"/>
            <w:tcMar>
              <w:top w:w="80" w:type="dxa"/>
              <w:start w:w="120" w:type="dxa"/>
              <w:bottom w:w="80" w:type="dxa"/>
              <w:end w:w="120" w:type="dxa"/>
            </w:tcMar>
          </w:tcPr>
          <w:p>
            <w:pPr>
              <w:spacing w:before="0" w:after="20" w:line="252" w:lineRule="auto"/>
              <w:jc w:val="left"/>
            </w:pPr>
            <w:r>
              <w:rPr>
                <w:color w:val="1D2733"/>
                <w:sz w:val="17"/>
              </w:rPr>
              <w:t>Perform repetitive low-risk actions inside approved rules</w:t>
            </w:r>
          </w:p>
        </w:tc>
        <w:tc>
          <w:tcPr>
            <w:tcW w:type="dxa" w:w="3350"/>
            <w:vAlign w:val="center"/>
            <w:tcMar>
              <w:top w:w="80" w:type="dxa"/>
              <w:start w:w="120" w:type="dxa"/>
              <w:bottom w:w="80" w:type="dxa"/>
              <w:end w:w="120" w:type="dxa"/>
            </w:tcMar>
          </w:tcPr>
          <w:p>
            <w:pPr>
              <w:spacing w:before="0" w:after="20" w:line="252" w:lineRule="auto"/>
              <w:jc w:val="left"/>
            </w:pPr>
            <w:r>
              <w:rPr>
                <w:color w:val="1D2733"/>
                <w:sz w:val="17"/>
              </w:rPr>
              <w:t>Continuous monitoring, exception queues, kill switch and periodic review</w:t>
            </w:r>
          </w:p>
        </w:tc>
      </w:tr>
      <w:tr>
        <w:trPr>
          <w:cantSplit/>
        </w:trPr>
        <w:tc>
          <w:tcPr>
            <w:tcW w:type="dxa" w:w="1650"/>
            <w:vAlign w:val="center"/>
            <w:shd w:fill="FAFBFC"/>
            <w:tcMar>
              <w:top w:w="80" w:type="dxa"/>
              <w:start w:w="120" w:type="dxa"/>
              <w:bottom w:w="80" w:type="dxa"/>
              <w:end w:w="120" w:type="dxa"/>
            </w:tcMar>
          </w:tcPr>
          <w:p>
            <w:pPr>
              <w:spacing w:before="0" w:after="20" w:line="252" w:lineRule="auto"/>
              <w:jc w:val="left"/>
            </w:pPr>
            <w:r>
              <w:rPr>
                <w:color w:val="1D2733"/>
                <w:sz w:val="17"/>
              </w:rPr>
              <w:t>5 - High autonomy</w:t>
            </w:r>
          </w:p>
        </w:tc>
        <w:tc>
          <w:tcPr>
            <w:tcW w:type="dxa" w:w="4360"/>
            <w:vAlign w:val="center"/>
            <w:shd w:fill="FAFBFC"/>
            <w:tcMar>
              <w:top w:w="80" w:type="dxa"/>
              <w:start w:w="120" w:type="dxa"/>
              <w:bottom w:w="80" w:type="dxa"/>
              <w:end w:w="120" w:type="dxa"/>
            </w:tcMar>
          </w:tcPr>
          <w:p>
            <w:pPr>
              <w:spacing w:before="0" w:after="20" w:line="252" w:lineRule="auto"/>
              <w:jc w:val="left"/>
            </w:pPr>
            <w:r>
              <w:rPr>
                <w:color w:val="1D2733"/>
                <w:sz w:val="17"/>
              </w:rPr>
              <w:t>Adapt plans across multiple tools and agents</w:t>
            </w:r>
          </w:p>
        </w:tc>
        <w:tc>
          <w:tcPr>
            <w:tcW w:type="dxa" w:w="3350"/>
            <w:vAlign w:val="center"/>
            <w:shd w:fill="FAFBFC"/>
            <w:tcMar>
              <w:top w:w="80" w:type="dxa"/>
              <w:start w:w="120" w:type="dxa"/>
              <w:bottom w:w="80" w:type="dxa"/>
              <w:end w:w="120" w:type="dxa"/>
            </w:tcMar>
          </w:tcPr>
          <w:p>
            <w:pPr>
              <w:spacing w:before="0" w:after="20" w:line="252" w:lineRule="auto"/>
              <w:jc w:val="left"/>
            </w:pPr>
            <w:r>
              <w:rPr>
                <w:color w:val="1D2733"/>
                <w:sz w:val="17"/>
              </w:rPr>
              <w:t>Not a default Rihuum production mode; requires executive risk approval and specialised assurance</w:t>
            </w:r>
          </w:p>
        </w:tc>
      </w:tr>
    </w:tbl>
    <w:p>
      <w:pPr>
        <w:pStyle w:val="Heading2"/>
      </w:pPr>
      <w:r>
        <w:t>Priority AI use cases</w:t>
      </w:r>
    </w:p>
    <w:p>
      <w:pPr>
        <w:pStyle w:val="ListBullet"/>
        <w:keepLines/>
      </w:pPr>
      <w:r>
        <w:rPr>
          <w:b/>
        </w:rPr>
        <w:t xml:space="preserve">Internal knowledge: </w:t>
      </w:r>
      <w:r>
        <w:t>Policy, product, proposal and support retrieval with source citations and role-based access.</w:t>
      </w:r>
    </w:p>
    <w:p>
      <w:pPr>
        <w:pStyle w:val="ListBullet"/>
        <w:keepLines/>
      </w:pPr>
      <w:r>
        <w:rPr>
          <w:b/>
        </w:rPr>
        <w:t xml:space="preserve">Customer service: </w:t>
      </w:r>
      <w:r>
        <w:t>Triage, suggested responses, knowledge retrieval, sentiment and routing; humans retain ownership of disputes and material commitments.</w:t>
      </w:r>
    </w:p>
    <w:p>
      <w:pPr>
        <w:pStyle w:val="ListBullet"/>
        <w:keepLines/>
      </w:pPr>
      <w:r>
        <w:rPr>
          <w:b/>
        </w:rPr>
        <w:t xml:space="preserve">Sales and delivery: </w:t>
      </w:r>
      <w:r>
        <w:t>Discovery summaries, proposal drafts, requirements traceability, project risk and meeting actions.</w:t>
      </w:r>
    </w:p>
    <w:p>
      <w:pPr>
        <w:pStyle w:val="ListBullet"/>
        <w:keepLines/>
      </w:pPr>
      <w:r>
        <w:rPr>
          <w:b/>
        </w:rPr>
        <w:t xml:space="preserve">Academy: </w:t>
      </w:r>
      <w:r>
        <w:t>Tutor support, adaptive practice, content assistance and assessment analytics with academic-integrity and learner-safety controls.</w:t>
      </w:r>
    </w:p>
    <w:p>
      <w:pPr>
        <w:pStyle w:val="ListBullet"/>
        <w:keepLines/>
      </w:pPr>
      <w:r>
        <w:rPr>
          <w:b/>
        </w:rPr>
        <w:t xml:space="preserve">Operations: </w:t>
      </w:r>
      <w:r>
        <w:t>Invoice/document extraction, reconciliation suggestions, scheduling, exception detection and management summaries.</w:t>
      </w:r>
    </w:p>
    <w:p>
      <w:pPr>
        <w:pStyle w:val="ListBullet"/>
        <w:keepLines/>
      </w:pPr>
      <w:r>
        <w:rPr>
          <w:b/>
        </w:rPr>
        <w:t xml:space="preserve">Smart systems: </w:t>
      </w:r>
      <w:r>
        <w:t>Computer-vision or telemetry alerts where lawful and accurate enough, with human verification before consequential action.</w:t>
      </w:r>
    </w:p>
    <w:p>
      <w:pPr>
        <w:pStyle w:val="ListBullet"/>
        <w:keepLines/>
      </w:pPr>
      <w:r>
        <w:rPr>
          <w:b/>
        </w:rPr>
        <w:t xml:space="preserve">Analytics: </w:t>
      </w:r>
      <w:r>
        <w:t>Forecasting, segmentation, anomaly detection and decision support using governed datasets and reproducible methods.</w:t>
      </w:r>
    </w:p>
    <w:p>
      <w:pPr>
        <w:pStyle w:val="Heading2"/>
      </w:pPr>
      <w:r>
        <w:t>AI product lifecycle</w:t>
      </w:r>
    </w:p>
    <w:p>
      <w:pPr>
        <w:pStyle w:val="ListNumber"/>
        <w:keepLines/>
        <w:numPr>
          <w:ilvl w:val="0"/>
          <w:numId w:val="14"/>
        </w:numPr>
      </w:pPr>
      <w:r>
        <w:t>Define the user, purpose, prohibited use, decision/action impact and measurable baseline.</w:t>
      </w:r>
    </w:p>
    <w:p>
      <w:pPr>
        <w:pStyle w:val="ListNumber"/>
        <w:keepLines/>
        <w:numPr>
          <w:ilvl w:val="0"/>
          <w:numId w:val="14"/>
        </w:numPr>
      </w:pPr>
      <w:r>
        <w:t>Classify data, legal basis, rights, vendor use, cross-border transfer and retention; complete a DPIA where risk warrants it.</w:t>
      </w:r>
    </w:p>
    <w:p>
      <w:pPr>
        <w:pStyle w:val="ListNumber"/>
        <w:keepLines/>
        <w:numPr>
          <w:ilvl w:val="0"/>
          <w:numId w:val="14"/>
        </w:numPr>
      </w:pPr>
      <w:r>
        <w:t>Choose the simplest effective technique: rules, workflow, analytics, conventional ML, generative AI or an agent.</w:t>
      </w:r>
    </w:p>
    <w:p>
      <w:pPr>
        <w:pStyle w:val="ListNumber"/>
        <w:keepLines/>
        <w:numPr>
          <w:ilvl w:val="0"/>
          <w:numId w:val="14"/>
        </w:numPr>
      </w:pPr>
      <w:r>
        <w:t>Threat-model prompts, knowledge, memory, identity, tools, inter-agent communication, supply chain and human trust.</w:t>
      </w:r>
    </w:p>
    <w:p>
      <w:pPr>
        <w:pStyle w:val="ListNumber"/>
        <w:keepLines/>
        <w:numPr>
          <w:ilvl w:val="0"/>
          <w:numId w:val="14"/>
        </w:numPr>
      </w:pPr>
      <w:r>
        <w:t>Create representative evaluation datasets and thresholds for task quality, grounding, safety, bias, privacy, security, latency and cost.</w:t>
      </w:r>
    </w:p>
    <w:p>
      <w:pPr>
        <w:pStyle w:val="ListNumber"/>
        <w:keepLines/>
        <w:numPr>
          <w:ilvl w:val="0"/>
          <w:numId w:val="14"/>
        </w:numPr>
      </w:pPr>
      <w:r>
        <w:t>Pilot with bounded users and authority; red-team and test failure handling, approvals, logging, rollback and kill switch.</w:t>
      </w:r>
    </w:p>
    <w:p>
      <w:pPr>
        <w:pStyle w:val="ListNumber"/>
        <w:keepLines/>
        <w:numPr>
          <w:ilvl w:val="0"/>
          <w:numId w:val="14"/>
        </w:numPr>
      </w:pPr>
      <w:r>
        <w:t>Approve release, monitor production drift/incidents and re-evaluate after model, prompt, knowledge, tool, policy or user changes.</w:t>
      </w:r>
    </w:p>
    <w:p>
      <w:pPr>
        <w:pStyle w:val="Heading2"/>
      </w:pPr>
      <w:r>
        <w:t>AI governance and prohibited patterns</w:t>
      </w:r>
    </w:p>
    <w:p>
      <w:pPr>
        <w:pStyle w:val="ListBullet"/>
        <w:keepLines/>
      </w:pPr>
      <w:r>
        <w:t>No agent receives administrator credentials, unrestricted network access or a broad shared service account.</w:t>
      </w:r>
    </w:p>
    <w:p>
      <w:pPr>
        <w:pStyle w:val="ListBullet"/>
        <w:keepLines/>
      </w:pPr>
      <w:r>
        <w:t>No unreviewed AI output creates a legal commitment, changes payroll/financial records, makes a high-impact employment/credit/health decision, or controls physical access/safety.</w:t>
      </w:r>
    </w:p>
    <w:p>
      <w:pPr>
        <w:pStyle w:val="ListBullet"/>
        <w:keepLines/>
      </w:pPr>
      <w:r>
        <w:t>No client, employee or learner data is used to train a model without documented authority, purpose, contract and rights controls.</w:t>
      </w:r>
    </w:p>
    <w:p>
      <w:pPr>
        <w:pStyle w:val="ListBullet"/>
        <w:keepLines/>
      </w:pPr>
      <w:r>
        <w:t>No hidden AI interaction: users are informed when they are interacting with AI and how to reach a person for material matters.</w:t>
      </w:r>
    </w:p>
    <w:p>
      <w:pPr>
        <w:pStyle w:val="ListBullet"/>
        <w:keepLines/>
      </w:pPr>
      <w:r>
        <w:t>No claim that an AI system is accurate, autonomous, secure or compliant without documented scope and current evaluation evidence.</w:t>
      </w:r>
    </w:p>
    <w:p>
      <w:pPr>
        <w:pStyle w:val="SmallNote"/>
      </w:pPr>
      <w:r>
        <w:t>Governance references include NIST AI RMF and the Generative AI Profile, ISO/IEC 42001:2023, and current OWASP Agentic AI guidance. See Appendix E.</w:t>
      </w:r>
    </w:p>
    <w:p>
      <w:pPr>
        <w:pStyle w:val="LeadCallout"/>
      </w:pPr>
      <w:r>
        <w:t>UNIFIED CYBERSECURITY PRODUCT FAMILY: Section 38 converts this enterprise framework into a commercial, separately licensable suite with Sentinel AI as its central platform. The framework remains the corporate minimum; the suite provides governed implementation workflows and evidence.</w:t>
      </w:r>
    </w:p>
    <w:p>
      <w:bookmarkStart w:id="11" w:name="sec11"/>
      <w:pPr>
        <w:pStyle w:val="Heading1"/>
        <w:keepNext/>
        <w:pageBreakBefore/>
      </w:pPr>
      <w:r>
        <w:t>SECTION 11 | Cybersecurity and Data-Protection Framework</w:t>
      </w:r>
      <w:bookmarkEnd w:id="11"/>
    </w:p>
    <w:p>
      <w:pPr>
        <w:pStyle w:val="LeadCallout"/>
        <w:shd w:fill="F4F6F9"/>
        <w:pBdr>
          <w:left w:val="single" w:sz="18" w:space="8" w:color="C99A2E"/>
        </w:pBdr>
      </w:pPr>
      <w:r>
        <w:rPr>
          <w:b/>
          <w:color w:val="102A43"/>
        </w:rPr>
        <w:t xml:space="preserve">Trust objective: </w:t>
      </w:r>
      <w:r>
        <w:t>Rihuum must make product and client security an executive-owned quality outcome. Security features essential to safe operation are baseline capabilities, not optional decoration.</w:t>
      </w:r>
    </w:p>
    <w:p>
      <w:pPr>
        <w:pStyle w:val="Heading2"/>
      </w:pPr>
      <w:r>
        <w:t>Cybersecurity management model</w:t>
      </w:r>
    </w:p>
    <w:p>
      <w:pPr>
        <w:pStyle w:val="Caption"/>
      </w:pPr>
      <w:r>
        <w:t>Table 20. NIST CSF 2.0 functions applied at Rihuum</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300"/>
        <w:gridCol w:w="4880"/>
        <w:gridCol w:w="3180"/>
      </w:tblGrid>
      <w:tr>
        <w:trPr>
          <w:tblHeader w:val="true"/>
          <w:cantSplit/>
        </w:trPr>
        <w:tc>
          <w:tcPr>
            <w:tcW w:type="dxa" w:w="1300"/>
            <w:vAlign w:val="center"/>
            <w:shd w:fill="F2F4F7"/>
            <w:tcMar>
              <w:top w:w="80" w:type="dxa"/>
              <w:start w:w="120" w:type="dxa"/>
              <w:bottom w:w="80" w:type="dxa"/>
              <w:end w:w="120" w:type="dxa"/>
            </w:tcMar>
          </w:tcPr>
          <w:p>
            <w:pPr>
              <w:spacing w:before="0" w:after="0"/>
              <w:jc w:val="center"/>
            </w:pPr>
            <w:r>
              <w:rPr>
                <w:b/>
                <w:color w:val="102A43"/>
                <w:sz w:val="17"/>
              </w:rPr>
              <w:t>Function</w:t>
            </w:r>
          </w:p>
        </w:tc>
        <w:tc>
          <w:tcPr>
            <w:tcW w:type="dxa" w:w="4880"/>
            <w:vAlign w:val="center"/>
            <w:shd w:fill="F2F4F7"/>
            <w:tcMar>
              <w:top w:w="80" w:type="dxa"/>
              <w:start w:w="120" w:type="dxa"/>
              <w:bottom w:w="80" w:type="dxa"/>
              <w:end w:w="120" w:type="dxa"/>
            </w:tcMar>
          </w:tcPr>
          <w:p>
            <w:pPr>
              <w:spacing w:before="0" w:after="0"/>
              <w:jc w:val="left"/>
            </w:pPr>
            <w:r>
              <w:rPr>
                <w:b/>
                <w:color w:val="102A43"/>
                <w:sz w:val="17"/>
              </w:rPr>
              <w:t>Rihuum implementation</w:t>
            </w:r>
          </w:p>
        </w:tc>
        <w:tc>
          <w:tcPr>
            <w:tcW w:type="dxa" w:w="3180"/>
            <w:vAlign w:val="center"/>
            <w:shd w:fill="F2F4F7"/>
            <w:tcMar>
              <w:top w:w="80" w:type="dxa"/>
              <w:start w:w="120" w:type="dxa"/>
              <w:bottom w:w="80" w:type="dxa"/>
              <w:end w:w="120" w:type="dxa"/>
            </w:tcMar>
          </w:tcPr>
          <w:p>
            <w:pPr>
              <w:spacing w:before="0" w:after="0"/>
              <w:jc w:val="left"/>
            </w:pPr>
            <w:r>
              <w:rPr>
                <w:b/>
                <w:color w:val="102A43"/>
                <w:sz w:val="17"/>
              </w:rPr>
              <w:t>Example evidence</w:t>
            </w:r>
          </w:p>
        </w:tc>
      </w:tr>
      <w:tr>
        <w:trPr>
          <w:cantSplit/>
        </w:trPr>
        <w:tc>
          <w:tcPr>
            <w:tcW w:type="dxa" w:w="1300"/>
            <w:vAlign w:val="center"/>
            <w:tcMar>
              <w:top w:w="80" w:type="dxa"/>
              <w:start w:w="120" w:type="dxa"/>
              <w:bottom w:w="80" w:type="dxa"/>
              <w:end w:w="120" w:type="dxa"/>
            </w:tcMar>
          </w:tcPr>
          <w:p>
            <w:pPr>
              <w:spacing w:before="0" w:after="20" w:line="252" w:lineRule="auto"/>
              <w:jc w:val="left"/>
            </w:pPr>
            <w:r>
              <w:rPr>
                <w:color w:val="1D2733"/>
                <w:sz w:val="16"/>
              </w:rPr>
              <w:t>Govern</w:t>
            </w:r>
          </w:p>
        </w:tc>
        <w:tc>
          <w:tcPr>
            <w:tcW w:type="dxa" w:w="4880"/>
            <w:vAlign w:val="center"/>
            <w:tcMar>
              <w:top w:w="80" w:type="dxa"/>
              <w:start w:w="120" w:type="dxa"/>
              <w:bottom w:w="80" w:type="dxa"/>
              <w:end w:w="120" w:type="dxa"/>
            </w:tcMar>
          </w:tcPr>
          <w:p>
            <w:pPr>
              <w:spacing w:before="0" w:after="20" w:line="252" w:lineRule="auto"/>
              <w:jc w:val="left"/>
            </w:pPr>
            <w:r>
              <w:rPr>
                <w:color w:val="1D2733"/>
                <w:sz w:val="16"/>
              </w:rPr>
              <w:t>Risk appetite, policies, roles, supply-chain oversight, legal mapping and board reporting</w:t>
            </w:r>
          </w:p>
        </w:tc>
        <w:tc>
          <w:tcPr>
            <w:tcW w:type="dxa" w:w="3180"/>
            <w:vAlign w:val="center"/>
            <w:tcMar>
              <w:top w:w="80" w:type="dxa"/>
              <w:start w:w="120" w:type="dxa"/>
              <w:bottom w:w="80" w:type="dxa"/>
              <w:end w:w="120" w:type="dxa"/>
            </w:tcMar>
          </w:tcPr>
          <w:p>
            <w:pPr>
              <w:spacing w:before="0" w:after="20" w:line="252" w:lineRule="auto"/>
              <w:jc w:val="left"/>
            </w:pPr>
            <w:r>
              <w:rPr>
                <w:color w:val="1D2733"/>
                <w:sz w:val="16"/>
              </w:rPr>
              <w:t>Risk register, control owners, exceptions and quarterly dashboard</w:t>
            </w:r>
          </w:p>
        </w:tc>
      </w:tr>
      <w:tr>
        <w:trPr>
          <w:cantSplit/>
        </w:trPr>
        <w:tc>
          <w:tcPr>
            <w:tcW w:type="dxa" w:w="1300"/>
            <w:vAlign w:val="center"/>
            <w:shd w:fill="FAFBFC"/>
            <w:tcMar>
              <w:top w:w="80" w:type="dxa"/>
              <w:start w:w="120" w:type="dxa"/>
              <w:bottom w:w="80" w:type="dxa"/>
              <w:end w:w="120" w:type="dxa"/>
            </w:tcMar>
          </w:tcPr>
          <w:p>
            <w:pPr>
              <w:spacing w:before="0" w:after="20" w:line="252" w:lineRule="auto"/>
              <w:jc w:val="left"/>
            </w:pPr>
            <w:r>
              <w:rPr>
                <w:color w:val="1D2733"/>
                <w:sz w:val="16"/>
              </w:rPr>
              <w:t>Identify</w:t>
            </w:r>
          </w:p>
        </w:tc>
        <w:tc>
          <w:tcPr>
            <w:tcW w:type="dxa" w:w="4880"/>
            <w:vAlign w:val="center"/>
            <w:shd w:fill="FAFBFC"/>
            <w:tcMar>
              <w:top w:w="80" w:type="dxa"/>
              <w:start w:w="120" w:type="dxa"/>
              <w:bottom w:w="80" w:type="dxa"/>
              <w:end w:w="120" w:type="dxa"/>
            </w:tcMar>
          </w:tcPr>
          <w:p>
            <w:pPr>
              <w:spacing w:before="0" w:after="20" w:line="252" w:lineRule="auto"/>
              <w:jc w:val="left"/>
            </w:pPr>
            <w:r>
              <w:rPr>
                <w:color w:val="1D2733"/>
                <w:sz w:val="16"/>
              </w:rPr>
              <w:t>Assets, data, systems, dependencies, threats, business impact and vulnerabilities</w:t>
            </w:r>
          </w:p>
        </w:tc>
        <w:tc>
          <w:tcPr>
            <w:tcW w:type="dxa" w:w="3180"/>
            <w:vAlign w:val="center"/>
            <w:shd w:fill="FAFBFC"/>
            <w:tcMar>
              <w:top w:w="80" w:type="dxa"/>
              <w:start w:w="120" w:type="dxa"/>
              <w:bottom w:w="80" w:type="dxa"/>
              <w:end w:w="120" w:type="dxa"/>
            </w:tcMar>
          </w:tcPr>
          <w:p>
            <w:pPr>
              <w:spacing w:before="0" w:after="20" w:line="252" w:lineRule="auto"/>
              <w:jc w:val="left"/>
            </w:pPr>
            <w:r>
              <w:rPr>
                <w:color w:val="1D2733"/>
                <w:sz w:val="16"/>
              </w:rPr>
              <w:t>Inventories, data maps, classifications, BIA and threat models</w:t>
            </w:r>
          </w:p>
        </w:tc>
      </w:tr>
      <w:tr>
        <w:trPr>
          <w:cantSplit/>
        </w:trPr>
        <w:tc>
          <w:tcPr>
            <w:tcW w:type="dxa" w:w="1300"/>
            <w:vAlign w:val="center"/>
            <w:tcMar>
              <w:top w:w="80" w:type="dxa"/>
              <w:start w:w="120" w:type="dxa"/>
              <w:bottom w:w="80" w:type="dxa"/>
              <w:end w:w="120" w:type="dxa"/>
            </w:tcMar>
          </w:tcPr>
          <w:p>
            <w:pPr>
              <w:spacing w:before="0" w:after="20" w:line="252" w:lineRule="auto"/>
              <w:jc w:val="left"/>
            </w:pPr>
            <w:r>
              <w:rPr>
                <w:color w:val="1D2733"/>
                <w:sz w:val="16"/>
              </w:rPr>
              <w:t>Protect</w:t>
            </w:r>
          </w:p>
        </w:tc>
        <w:tc>
          <w:tcPr>
            <w:tcW w:type="dxa" w:w="4880"/>
            <w:vAlign w:val="center"/>
            <w:tcMar>
              <w:top w:w="80" w:type="dxa"/>
              <w:start w:w="120" w:type="dxa"/>
              <w:bottom w:w="80" w:type="dxa"/>
              <w:end w:w="120" w:type="dxa"/>
            </w:tcMar>
          </w:tcPr>
          <w:p>
            <w:pPr>
              <w:spacing w:before="0" w:after="20" w:line="252" w:lineRule="auto"/>
              <w:jc w:val="left"/>
            </w:pPr>
            <w:r>
              <w:rPr>
                <w:color w:val="1D2733"/>
                <w:sz w:val="16"/>
              </w:rPr>
              <w:t>Identity, secure configuration, encryption, training, backups, application security and data controls</w:t>
            </w:r>
          </w:p>
        </w:tc>
        <w:tc>
          <w:tcPr>
            <w:tcW w:type="dxa" w:w="3180"/>
            <w:vAlign w:val="center"/>
            <w:tcMar>
              <w:top w:w="80" w:type="dxa"/>
              <w:start w:w="120" w:type="dxa"/>
              <w:bottom w:w="80" w:type="dxa"/>
              <w:end w:w="120" w:type="dxa"/>
            </w:tcMar>
          </w:tcPr>
          <w:p>
            <w:pPr>
              <w:spacing w:before="0" w:after="20" w:line="252" w:lineRule="auto"/>
              <w:jc w:val="left"/>
            </w:pPr>
            <w:r>
              <w:rPr>
                <w:color w:val="1D2733"/>
                <w:sz w:val="16"/>
              </w:rPr>
              <w:t>MFA, access reviews, baselines, test results and protected backups</w:t>
            </w:r>
          </w:p>
        </w:tc>
      </w:tr>
      <w:tr>
        <w:trPr>
          <w:cantSplit/>
        </w:trPr>
        <w:tc>
          <w:tcPr>
            <w:tcW w:type="dxa" w:w="1300"/>
            <w:vAlign w:val="center"/>
            <w:shd w:fill="FAFBFC"/>
            <w:tcMar>
              <w:top w:w="80" w:type="dxa"/>
              <w:start w:w="120" w:type="dxa"/>
              <w:bottom w:w="80" w:type="dxa"/>
              <w:end w:w="120" w:type="dxa"/>
            </w:tcMar>
          </w:tcPr>
          <w:p>
            <w:pPr>
              <w:spacing w:before="0" w:after="20" w:line="252" w:lineRule="auto"/>
              <w:jc w:val="left"/>
            </w:pPr>
            <w:r>
              <w:rPr>
                <w:color w:val="1D2733"/>
                <w:sz w:val="16"/>
              </w:rPr>
              <w:t>Detect</w:t>
            </w:r>
          </w:p>
        </w:tc>
        <w:tc>
          <w:tcPr>
            <w:tcW w:type="dxa" w:w="4880"/>
            <w:vAlign w:val="center"/>
            <w:shd w:fill="FAFBFC"/>
            <w:tcMar>
              <w:top w:w="80" w:type="dxa"/>
              <w:start w:w="120" w:type="dxa"/>
              <w:bottom w:w="80" w:type="dxa"/>
              <w:end w:w="120" w:type="dxa"/>
            </w:tcMar>
          </w:tcPr>
          <w:p>
            <w:pPr>
              <w:spacing w:before="0" w:after="20" w:line="252" w:lineRule="auto"/>
              <w:jc w:val="left"/>
            </w:pPr>
            <w:r>
              <w:rPr>
                <w:color w:val="1D2733"/>
                <w:sz w:val="16"/>
              </w:rPr>
              <w:t>Logs, monitoring, alerting, anomaly detection and reporting channels</w:t>
            </w:r>
          </w:p>
        </w:tc>
        <w:tc>
          <w:tcPr>
            <w:tcW w:type="dxa" w:w="3180"/>
            <w:vAlign w:val="center"/>
            <w:shd w:fill="FAFBFC"/>
            <w:tcMar>
              <w:top w:w="80" w:type="dxa"/>
              <w:start w:w="120" w:type="dxa"/>
              <w:bottom w:w="80" w:type="dxa"/>
              <w:end w:w="120" w:type="dxa"/>
            </w:tcMar>
          </w:tcPr>
          <w:p>
            <w:pPr>
              <w:spacing w:before="0" w:after="20" w:line="252" w:lineRule="auto"/>
              <w:jc w:val="left"/>
            </w:pPr>
            <w:r>
              <w:rPr>
                <w:color w:val="1D2733"/>
                <w:sz w:val="16"/>
              </w:rPr>
              <w:t>Coverage map, alert tests, vulnerability findings and security contact</w:t>
            </w:r>
          </w:p>
        </w:tc>
      </w:tr>
      <w:tr>
        <w:trPr>
          <w:cantSplit/>
        </w:trPr>
        <w:tc>
          <w:tcPr>
            <w:tcW w:type="dxa" w:w="1300"/>
            <w:vAlign w:val="center"/>
            <w:tcMar>
              <w:top w:w="80" w:type="dxa"/>
              <w:start w:w="120" w:type="dxa"/>
              <w:bottom w:w="80" w:type="dxa"/>
              <w:end w:w="120" w:type="dxa"/>
            </w:tcMar>
          </w:tcPr>
          <w:p>
            <w:pPr>
              <w:spacing w:before="0" w:after="20" w:line="252" w:lineRule="auto"/>
              <w:jc w:val="left"/>
            </w:pPr>
            <w:r>
              <w:rPr>
                <w:color w:val="1D2733"/>
                <w:sz w:val="16"/>
              </w:rPr>
              <w:t>Respond</w:t>
            </w:r>
          </w:p>
        </w:tc>
        <w:tc>
          <w:tcPr>
            <w:tcW w:type="dxa" w:w="4880"/>
            <w:vAlign w:val="center"/>
            <w:tcMar>
              <w:top w:w="80" w:type="dxa"/>
              <w:start w:w="120" w:type="dxa"/>
              <w:bottom w:w="80" w:type="dxa"/>
              <w:end w:w="120" w:type="dxa"/>
            </w:tcMar>
          </w:tcPr>
          <w:p>
            <w:pPr>
              <w:spacing w:before="0" w:after="20" w:line="252" w:lineRule="auto"/>
              <w:jc w:val="left"/>
            </w:pPr>
            <w:r>
              <w:rPr>
                <w:color w:val="1D2733"/>
                <w:sz w:val="16"/>
              </w:rPr>
              <w:t>Triage, containment, communications, legal/privacy assessment and lessons</w:t>
            </w:r>
          </w:p>
        </w:tc>
        <w:tc>
          <w:tcPr>
            <w:tcW w:type="dxa" w:w="3180"/>
            <w:vAlign w:val="center"/>
            <w:tcMar>
              <w:top w:w="80" w:type="dxa"/>
              <w:start w:w="120" w:type="dxa"/>
              <w:bottom w:w="80" w:type="dxa"/>
              <w:end w:w="120" w:type="dxa"/>
            </w:tcMar>
          </w:tcPr>
          <w:p>
            <w:pPr>
              <w:spacing w:before="0" w:after="20" w:line="252" w:lineRule="auto"/>
              <w:jc w:val="left"/>
            </w:pPr>
            <w:r>
              <w:rPr>
                <w:color w:val="1D2733"/>
                <w:sz w:val="16"/>
              </w:rPr>
              <w:t>Incident plan, contact tree, exercise and incident records</w:t>
            </w:r>
          </w:p>
        </w:tc>
      </w:tr>
      <w:tr>
        <w:trPr>
          <w:cantSplit/>
        </w:trPr>
        <w:tc>
          <w:tcPr>
            <w:tcW w:type="dxa" w:w="1300"/>
            <w:vAlign w:val="center"/>
            <w:shd w:fill="FAFBFC"/>
            <w:tcMar>
              <w:top w:w="80" w:type="dxa"/>
              <w:start w:w="120" w:type="dxa"/>
              <w:bottom w:w="80" w:type="dxa"/>
              <w:end w:w="120" w:type="dxa"/>
            </w:tcMar>
          </w:tcPr>
          <w:p>
            <w:pPr>
              <w:spacing w:before="0" w:after="20" w:line="252" w:lineRule="auto"/>
              <w:jc w:val="left"/>
            </w:pPr>
            <w:r>
              <w:rPr>
                <w:color w:val="1D2733"/>
                <w:sz w:val="16"/>
              </w:rPr>
              <w:t>Recover</w:t>
            </w:r>
          </w:p>
        </w:tc>
        <w:tc>
          <w:tcPr>
            <w:tcW w:type="dxa" w:w="4880"/>
            <w:vAlign w:val="center"/>
            <w:shd w:fill="FAFBFC"/>
            <w:tcMar>
              <w:top w:w="80" w:type="dxa"/>
              <w:start w:w="120" w:type="dxa"/>
              <w:bottom w:w="80" w:type="dxa"/>
              <w:end w:w="120" w:type="dxa"/>
            </w:tcMar>
          </w:tcPr>
          <w:p>
            <w:pPr>
              <w:spacing w:before="0" w:after="20" w:line="252" w:lineRule="auto"/>
              <w:jc w:val="left"/>
            </w:pPr>
            <w:r>
              <w:rPr>
                <w:color w:val="1D2733"/>
                <w:sz w:val="16"/>
              </w:rPr>
              <w:t>Restoration, failover, customer communication and improvement</w:t>
            </w:r>
          </w:p>
        </w:tc>
        <w:tc>
          <w:tcPr>
            <w:tcW w:type="dxa" w:w="3180"/>
            <w:vAlign w:val="center"/>
            <w:shd w:fill="FAFBFC"/>
            <w:tcMar>
              <w:top w:w="80" w:type="dxa"/>
              <w:start w:w="120" w:type="dxa"/>
              <w:bottom w:w="80" w:type="dxa"/>
              <w:end w:w="120" w:type="dxa"/>
            </w:tcMar>
          </w:tcPr>
          <w:p>
            <w:pPr>
              <w:spacing w:before="0" w:after="20" w:line="252" w:lineRule="auto"/>
              <w:jc w:val="left"/>
            </w:pPr>
            <w:r>
              <w:rPr>
                <w:color w:val="1D2733"/>
                <w:sz w:val="16"/>
              </w:rPr>
              <w:t>RPO/RTO, restore tests, DR exercise and post-incident actions</w:t>
            </w:r>
          </w:p>
        </w:tc>
      </w:tr>
    </w:tbl>
    <w:p>
      <w:pPr>
        <w:pStyle w:val="Heading2"/>
      </w:pPr>
      <w:r>
        <w:t>Minimum technical baseline</w:t>
      </w:r>
    </w:p>
    <w:p>
      <w:pPr>
        <w:pStyle w:val="ListBullet"/>
        <w:keepLines/>
      </w:pPr>
      <w:r>
        <w:rPr>
          <w:b/>
        </w:rPr>
        <w:t xml:space="preserve">Identity: </w:t>
      </w:r>
      <w:r>
        <w:t>Unique accounts, MFA for privileged/remote access, least privilege, role separation, joiner-mover-leaver workflow and periodic reviews.</w:t>
      </w:r>
    </w:p>
    <w:p>
      <w:pPr>
        <w:pStyle w:val="ListBullet"/>
        <w:keepLines/>
      </w:pPr>
      <w:r>
        <w:rPr>
          <w:b/>
        </w:rPr>
        <w:t xml:space="preserve">Secrets: </w:t>
      </w:r>
      <w:r>
        <w:t>No credentials in source code, tickets or shared documents; use environment secret stores, rotation and scoped service identities.</w:t>
      </w:r>
    </w:p>
    <w:p>
      <w:pPr>
        <w:pStyle w:val="ListBullet"/>
        <w:keepLines/>
      </w:pPr>
      <w:r>
        <w:rPr>
          <w:b/>
        </w:rPr>
        <w:t xml:space="preserve">Application security: </w:t>
      </w:r>
      <w:r>
        <w:t>Threat modelling, peer review, dependency/SAST/secret scanning, OWASP ASVS-based requirements, secure session/authentication and tested input/output controls.</w:t>
      </w:r>
    </w:p>
    <w:p>
      <w:pPr>
        <w:pStyle w:val="ListBullet"/>
        <w:keepLines/>
      </w:pPr>
      <w:r>
        <w:rPr>
          <w:b/>
        </w:rPr>
        <w:t xml:space="preserve">Data security: </w:t>
      </w:r>
      <w:r>
        <w:t>Classification, purpose limitation, encryption in transit, protected storage, tenant isolation, export controls, retention and secure deletion.</w:t>
      </w:r>
    </w:p>
    <w:p>
      <w:pPr>
        <w:pStyle w:val="ListBullet"/>
        <w:keepLines/>
      </w:pPr>
      <w:r>
        <w:rPr>
          <w:b/>
        </w:rPr>
        <w:t xml:space="preserve">Infrastructure: </w:t>
      </w:r>
      <w:r>
        <w:t>Hardened configuration, patching, controlled administration, web application firewall where appropriate, egress awareness and independent status monitoring.</w:t>
      </w:r>
    </w:p>
    <w:p>
      <w:pPr>
        <w:pStyle w:val="ListBullet"/>
        <w:keepLines/>
      </w:pPr>
      <w:r>
        <w:rPr>
          <w:b/>
        </w:rPr>
        <w:t xml:space="preserve">Supply chain: </w:t>
      </w:r>
      <w:r>
        <w:t>Approved dependencies/vendors, lockfiles, provenance, licence review, vulnerability monitoring, SBOM capability and integrity checks for releases.</w:t>
      </w:r>
    </w:p>
    <w:p>
      <w:pPr>
        <w:pStyle w:val="ListBullet"/>
        <w:keepLines/>
      </w:pPr>
      <w:r>
        <w:rPr>
          <w:b/>
        </w:rPr>
        <w:t xml:space="preserve">Resilience: </w:t>
      </w:r>
      <w:r>
        <w:t>Tested backups, immutable/offline copy where feasible, deployment rollback, documented restoration and independent contact/status capability.</w:t>
      </w:r>
    </w:p>
    <w:p>
      <w:pPr>
        <w:pStyle w:val="ListBullet"/>
        <w:keepLines/>
      </w:pPr>
      <w:r>
        <w:rPr>
          <w:b/>
        </w:rPr>
        <w:t xml:space="preserve">Vulnerability handling: </w:t>
      </w:r>
      <w:r>
        <w:t>Public security contact, responsible disclosure process, severity/ownership, remediation targets and customer advisories when required.</w:t>
      </w:r>
    </w:p>
    <w:p>
      <w:pPr>
        <w:pStyle w:val="Heading2"/>
      </w:pPr>
      <w:r>
        <w:t>Data-protection programme</w:t>
      </w:r>
    </w:p>
    <w:p>
      <w:pPr>
        <w:pStyle w:val="Caption"/>
      </w:pPr>
      <w:r>
        <w:t>Table 21. Privacy-by-design operating controls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200"/>
        <w:gridCol w:w="7160"/>
      </w:tblGrid>
      <w:tr>
        <w:trPr>
          <w:tblHeader w:val="true"/>
          <w:cantSplit/>
        </w:trPr>
        <w:tc>
          <w:tcPr>
            <w:tcW w:type="dxa" w:w="2200"/>
            <w:vAlign w:val="center"/>
            <w:shd w:fill="F2F4F7"/>
            <w:tcMar>
              <w:top w:w="80" w:type="dxa"/>
              <w:start w:w="120" w:type="dxa"/>
              <w:bottom w:w="80" w:type="dxa"/>
              <w:end w:w="120" w:type="dxa"/>
            </w:tcMar>
          </w:tcPr>
          <w:p>
            <w:pPr>
              <w:spacing w:before="0" w:after="0"/>
              <w:jc w:val="center"/>
            </w:pPr>
            <w:r>
              <w:rPr>
                <w:b/>
                <w:color w:val="102A43"/>
                <w:sz w:val="17"/>
              </w:rPr>
              <w:t>Control</w:t>
            </w:r>
          </w:p>
        </w:tc>
        <w:tc>
          <w:tcPr>
            <w:tcW w:type="dxa" w:w="7160"/>
            <w:vAlign w:val="center"/>
            <w:shd w:fill="F2F4F7"/>
            <w:tcMar>
              <w:top w:w="80" w:type="dxa"/>
              <w:start w:w="120" w:type="dxa"/>
              <w:bottom w:w="80" w:type="dxa"/>
              <w:end w:w="120" w:type="dxa"/>
            </w:tcMar>
          </w:tcPr>
          <w:p>
            <w:pPr>
              <w:spacing w:before="0" w:after="0"/>
              <w:jc w:val="left"/>
            </w:pPr>
            <w:r>
              <w:rPr>
                <w:b/>
                <w:color w:val="102A43"/>
                <w:sz w:val="17"/>
              </w:rPr>
              <w:t>Required practice</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6"/>
              </w:rPr>
              <w:t>Records of processing</w:t>
            </w:r>
          </w:p>
        </w:tc>
        <w:tc>
          <w:tcPr>
            <w:tcW w:type="dxa" w:w="7160"/>
            <w:vAlign w:val="center"/>
            <w:tcMar>
              <w:top w:w="80" w:type="dxa"/>
              <w:start w:w="120" w:type="dxa"/>
              <w:bottom w:w="80" w:type="dxa"/>
              <w:end w:w="120" w:type="dxa"/>
            </w:tcMar>
          </w:tcPr>
          <w:p>
            <w:pPr>
              <w:spacing w:before="0" w:after="20" w:line="252" w:lineRule="auto"/>
              <w:jc w:val="left"/>
            </w:pPr>
            <w:r>
              <w:rPr>
                <w:color w:val="1D2733"/>
                <w:sz w:val="16"/>
              </w:rPr>
              <w:t>Identify controller/processor roles, purposes, data categories, subjects, recipients, locations, vendors, retention and security.</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6"/>
              </w:rPr>
              <w:t>Lawful and fair processing</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6"/>
              </w:rPr>
              <w:t>Document the applicable lawful basis and provide clear notices; obtain valid consent only where consent is the correct basis.</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6"/>
              </w:rPr>
              <w:t>Data minimisation</w:t>
            </w:r>
          </w:p>
        </w:tc>
        <w:tc>
          <w:tcPr>
            <w:tcW w:type="dxa" w:w="7160"/>
            <w:vAlign w:val="center"/>
            <w:tcMar>
              <w:top w:w="80" w:type="dxa"/>
              <w:start w:w="120" w:type="dxa"/>
              <w:bottom w:w="80" w:type="dxa"/>
              <w:end w:w="120" w:type="dxa"/>
            </w:tcMar>
          </w:tcPr>
          <w:p>
            <w:pPr>
              <w:spacing w:before="0" w:after="20" w:line="252" w:lineRule="auto"/>
              <w:jc w:val="left"/>
            </w:pPr>
            <w:r>
              <w:rPr>
                <w:color w:val="1D2733"/>
                <w:sz w:val="16"/>
              </w:rPr>
              <w:t>Collect only what is needed, make optional fields clear, avoid open-ended collection and review old fields/data.</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6"/>
              </w:rPr>
              <w:t>Rights handling</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6"/>
              </w:rPr>
              <w:t>Authenticated request intake, search/export/correction/deletion workflow, decision record and statutory timeline tracking.</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6"/>
              </w:rPr>
              <w:t>DPIA</w:t>
            </w:r>
          </w:p>
        </w:tc>
        <w:tc>
          <w:tcPr>
            <w:tcW w:type="dxa" w:w="7160"/>
            <w:vAlign w:val="center"/>
            <w:tcMar>
              <w:top w:w="80" w:type="dxa"/>
              <w:start w:w="120" w:type="dxa"/>
              <w:bottom w:w="80" w:type="dxa"/>
              <w:end w:w="120" w:type="dxa"/>
            </w:tcMar>
          </w:tcPr>
          <w:p>
            <w:pPr>
              <w:spacing w:before="0" w:after="20" w:line="252" w:lineRule="auto"/>
              <w:jc w:val="left"/>
            </w:pPr>
            <w:r>
              <w:rPr>
                <w:color w:val="1D2733"/>
                <w:sz w:val="16"/>
              </w:rPr>
              <w:t>Assess high-risk processing before launch, especially biometrics, CCTV/computer vision, monitoring, children/learners, profiling and consequential AI.</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6"/>
              </w:rPr>
              <w:t>Processors</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6"/>
              </w:rPr>
              <w:t>Due diligence, data-processing terms, confidentiality, security, subprocessors, location, assistance, breach and deletion/return obligations.</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6"/>
              </w:rPr>
              <w:t>International transfers</w:t>
            </w:r>
          </w:p>
        </w:tc>
        <w:tc>
          <w:tcPr>
            <w:tcW w:type="dxa" w:w="7160"/>
            <w:vAlign w:val="center"/>
            <w:tcMar>
              <w:top w:w="80" w:type="dxa"/>
              <w:start w:w="120" w:type="dxa"/>
              <w:bottom w:w="80" w:type="dxa"/>
              <w:end w:w="120" w:type="dxa"/>
            </w:tcMar>
          </w:tcPr>
          <w:p>
            <w:pPr>
              <w:spacing w:before="0" w:after="20" w:line="252" w:lineRule="auto"/>
              <w:jc w:val="left"/>
            </w:pPr>
            <w:r>
              <w:rPr>
                <w:color w:val="1D2733"/>
                <w:sz w:val="16"/>
              </w:rPr>
              <w:t>Map transfers and use lawful transfer mechanisms and risk assessment appropriate to the destination and contract.</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6"/>
              </w:rPr>
              <w:t>Breach response</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6"/>
              </w:rPr>
              <w:t>Detect, contain, assess risk, preserve evidence, involve privacy/legal leadership and notify affected parties/regulators when required.</w:t>
            </w:r>
          </w:p>
        </w:tc>
      </w:tr>
    </w:tbl>
    <w:p>
      <w:pPr>
        <w:pStyle w:val="Heading2"/>
      </w:pPr>
      <w:r>
        <w:t>Security assurance roadmap</w:t>
      </w:r>
    </w:p>
    <w:p>
      <w:r>
        <w:t>Begin with an internal control baseline mapped to NIST CSF 2.0 and OWASP ASVS, then build an information security management system aligned to ISO/IEC 27001:2022. Add privacy management alignment to ISO/IEC 27701:2025, AI management alignment to ISO/IEC 42001:2023 and business-continuity alignment to ISO 22301:2019 as scope and customer demand justify. Do not claim certification until an accredited body issues a valid certificate for a defined scope.</w:t>
      </w:r>
    </w:p>
    <w:p>
      <w:pPr>
        <w:pStyle w:val="LeadCallout"/>
      </w:pPr>
      <w:r>
        <w:t>SENTINEL PLACEMENT RULE: the portal, licensing, governance, incidents, evidence and safe public checks may begin on compatible shared hosting; local, continuous or high-volume security workloads require customer-controlled collectors, VPS workers or approved managed providers.</w:t>
      </w:r>
    </w:p>
    <w:p>
      <w:bookmarkStart w:id="12" w:name="sec12"/>
      <w:pPr>
        <w:pStyle w:val="Heading1"/>
        <w:keepNext/>
        <w:pageBreakBefore/>
      </w:pPr>
      <w:r>
        <w:t>SECTION 12 | Hosting, Infrastructure, and Migration Strategy</w:t>
      </w:r>
      <w:bookmarkEnd w:id="12"/>
    </w:p>
    <w:p>
      <w:pPr>
        <w:pStyle w:val="LeadCallout"/>
        <w:shd w:fill="F4F6F9"/>
        <w:pBdr>
          <w:left w:val="single" w:sz="18" w:space="8" w:color="C99A2E"/>
        </w:pBdr>
      </w:pPr>
      <w:r>
        <w:rPr>
          <w:b/>
          <w:color w:val="102A43"/>
        </w:rPr>
        <w:t>Current hosting decision:</w:t>
      </w:r>
      <w:r>
        <w:rPr>
          <w:b w:val="0"/>
          <w:color w:val="102A43"/>
        </w:rPr>
        <w:t xml:space="preserve"> The public Rihuum Digital Ecosystem uses OpenAI Sites for application delivery and D1 for controlled application data. Namecheap remains the registrar, authoritative DNS and domain-email provider. Sentinel AI's PHP/MySQL package is a separate engineering-alpha staging candidate. Namecheap shared hosting may support bounded low-risk components, but not heavy AI, long-running agents, streaming, safety-critical workloads or regulated high-availability services.</w:t>
      </w:r>
    </w:p>
    <w:p>
      <w:pPr>
        <w:pStyle w:val="LeadCallout"/>
      </w:pPr>
      <w:r>
        <w:rPr>
          <w:b/>
        </w:rPr>
        <w:t>Media and domain rule:</w:t>
      </w:r>
      <w:r>
        <w:rPr>
          <w:b w:val="0"/>
        </w:rPr>
        <w:t xml:space="preserve"> Optimised silent cinematic loops may be served by the current Sites/CDN delivery path with poster images, metadata-only preload, pause controls and reduced-motion fallbacks. Namecheap DNS changes must preserve valid mail records. Bare and www hostnames must follow the approved canonical/redirect register; no redirect or certificate state is assumed complete without live verification.</w:t>
      </w:r>
    </w:p>
    <w:p>
      <w:pPr>
        <w:pStyle w:val="Heading2"/>
      </w:pPr>
      <w:r>
        <w:t>Phase 1 hosting pattern</w:t>
      </w:r>
    </w:p>
    <w:p>
      <w:pPr>
        <w:pStyle w:val="ListBullet"/>
        <w:keepLines/>
      </w:pPr>
      <w:r>
        <w:t>Separate each domain, staging site and production application with distinct document roots, databases, credentials and deployment records.</w:t>
      </w:r>
    </w:p>
    <w:p>
      <w:pPr>
        <w:pStyle w:val="ListBullet"/>
        <w:keepLines/>
      </w:pPr>
      <w:r>
        <w:t>Keep application configuration and secrets outside the repository; block direct web access to private storage, logs, backups and configuration.</w:t>
      </w:r>
    </w:p>
    <w:p>
      <w:pPr>
        <w:pStyle w:val="ListBullet"/>
        <w:keepLines/>
      </w:pPr>
      <w:r>
        <w:t>Build and test release artefacts in CI; deploy a known artefact rather than editing production files through the hosting control panel.</w:t>
      </w:r>
    </w:p>
    <w:p>
      <w:pPr>
        <w:pStyle w:val="ListBullet"/>
        <w:keepLines/>
      </w:pPr>
      <w:r>
        <w:t>Use a hosted CDN/DNS/WAF service where appropriate, external uptime monitoring, licensed payment providers, external transactional email and a separately reachable status page.</w:t>
      </w:r>
    </w:p>
    <w:p>
      <w:pPr>
        <w:pStyle w:val="ListBullet"/>
        <w:keepLines/>
      </w:pPr>
      <w:r>
        <w:t>Use cron for bounded jobs and a database queue; enforce idempotency, timeouts, retries and a dead-letter/failed-job review.</w:t>
      </w:r>
    </w:p>
    <w:p>
      <w:pPr>
        <w:pStyle w:val="ListBullet"/>
        <w:keepLines/>
      </w:pPr>
      <w:r>
        <w:t>Encrypt backups before copying them to a separate provider/account; perform and record restoration tests.</w:t>
      </w:r>
    </w:p>
    <w:p>
      <w:pPr>
        <w:pStyle w:val="Heading2"/>
      </w:pPr>
      <w:r>
        <w:t>Workload placement</w:t>
      </w:r>
    </w:p>
    <w:p>
      <w:pPr>
        <w:pStyle w:val="Caption"/>
      </w:pPr>
      <w:r>
        <w:t>Table 22. Shared-hosting suitability</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350"/>
        <w:gridCol w:w="3370"/>
        <w:gridCol w:w="3640"/>
      </w:tblGrid>
      <w:tr>
        <w:trPr>
          <w:tblHeader w:val="true"/>
          <w:cantSplit/>
        </w:trPr>
        <w:tc>
          <w:tcPr>
            <w:tcW w:type="dxa" w:w="2350"/>
            <w:vAlign w:val="center"/>
            <w:shd w:fill="F2F4F7"/>
            <w:tcMar>
              <w:top w:w="80" w:type="dxa"/>
              <w:start w:w="120" w:type="dxa"/>
              <w:bottom w:w="80" w:type="dxa"/>
              <w:end w:w="120" w:type="dxa"/>
            </w:tcMar>
          </w:tcPr>
          <w:p>
            <w:pPr>
              <w:spacing w:before="0" w:after="0"/>
              <w:jc w:val="center"/>
            </w:pPr>
            <w:r>
              <w:rPr>
                <w:b/>
                <w:color w:val="102A43"/>
                <w:sz w:val="17"/>
              </w:rPr>
              <w:t>Workload</w:t>
            </w:r>
          </w:p>
        </w:tc>
        <w:tc>
          <w:tcPr>
            <w:tcW w:type="dxa" w:w="3370"/>
            <w:vAlign w:val="center"/>
            <w:shd w:fill="F2F4F7"/>
            <w:tcMar>
              <w:top w:w="80" w:type="dxa"/>
              <w:start w:w="120" w:type="dxa"/>
              <w:bottom w:w="80" w:type="dxa"/>
              <w:end w:w="120" w:type="dxa"/>
            </w:tcMar>
          </w:tcPr>
          <w:p>
            <w:pPr>
              <w:spacing w:before="0" w:after="0"/>
              <w:jc w:val="left"/>
            </w:pPr>
            <w:r>
              <w:rPr>
                <w:b/>
                <w:color w:val="102A43"/>
                <w:sz w:val="17"/>
              </w:rPr>
              <w:t>Shared hosting position</w:t>
            </w:r>
          </w:p>
        </w:tc>
        <w:tc>
          <w:tcPr>
            <w:tcW w:type="dxa" w:w="3640"/>
            <w:vAlign w:val="center"/>
            <w:shd w:fill="F2F4F7"/>
            <w:tcMar>
              <w:top w:w="80" w:type="dxa"/>
              <w:start w:w="120" w:type="dxa"/>
              <w:bottom w:w="80" w:type="dxa"/>
              <w:end w:w="120" w:type="dxa"/>
            </w:tcMar>
          </w:tcPr>
          <w:p>
            <w:pPr>
              <w:spacing w:before="0" w:after="0"/>
              <w:jc w:val="left"/>
            </w:pPr>
            <w:r>
              <w:rPr>
                <w:b/>
                <w:color w:val="102A43"/>
                <w:sz w:val="17"/>
              </w:rPr>
              <w:t>Required alternative/trigger</w:t>
            </w:r>
          </w:p>
        </w:tc>
      </w:tr>
      <w:tr>
        <w:trPr>
          <w:cantSplit/>
        </w:trPr>
        <w:tc>
          <w:tcPr>
            <w:tcW w:type="dxa" w:w="2350"/>
            <w:vAlign w:val="center"/>
            <w:tcMar>
              <w:top w:w="80" w:type="dxa"/>
              <w:start w:w="120" w:type="dxa"/>
              <w:bottom w:w="80" w:type="dxa"/>
              <w:end w:w="120" w:type="dxa"/>
            </w:tcMar>
          </w:tcPr>
          <w:p>
            <w:pPr>
              <w:spacing w:before="0" w:after="20" w:line="252" w:lineRule="auto"/>
              <w:jc w:val="left"/>
            </w:pPr>
            <w:r>
              <w:rPr>
                <w:color w:val="1D2733"/>
                <w:sz w:val="16"/>
              </w:rPr>
              <w:t>Public corporate/product sites</w:t>
            </w:r>
          </w:p>
        </w:tc>
        <w:tc>
          <w:tcPr>
            <w:tcW w:type="dxa" w:w="3370"/>
            <w:vAlign w:val="center"/>
            <w:tcMar>
              <w:top w:w="80" w:type="dxa"/>
              <w:start w:w="120" w:type="dxa"/>
              <w:bottom w:w="80" w:type="dxa"/>
              <w:end w:w="120" w:type="dxa"/>
            </w:tcMar>
          </w:tcPr>
          <w:p>
            <w:pPr>
              <w:spacing w:before="0" w:after="20" w:line="252" w:lineRule="auto"/>
              <w:jc w:val="left"/>
            </w:pPr>
            <w:r>
              <w:rPr>
                <w:color w:val="1D2733"/>
                <w:sz w:val="16"/>
              </w:rPr>
              <w:t>Suitable when hardened, cached and monitored</w:t>
            </w:r>
          </w:p>
        </w:tc>
        <w:tc>
          <w:tcPr>
            <w:tcW w:type="dxa" w:w="3640"/>
            <w:vAlign w:val="center"/>
            <w:tcMar>
              <w:top w:w="80" w:type="dxa"/>
              <w:start w:w="120" w:type="dxa"/>
              <w:bottom w:w="80" w:type="dxa"/>
              <w:end w:w="120" w:type="dxa"/>
            </w:tcMar>
          </w:tcPr>
          <w:p>
            <w:pPr>
              <w:spacing w:before="0" w:after="20" w:line="252" w:lineRule="auto"/>
              <w:jc w:val="left"/>
            </w:pPr>
            <w:r>
              <w:rPr>
                <w:color w:val="1D2733"/>
                <w:sz w:val="16"/>
              </w:rPr>
              <w:t>Move for availability, traffic, security or deployment-control needs</w:t>
            </w:r>
          </w:p>
        </w:tc>
      </w:tr>
      <w:tr>
        <w:trPr>
          <w:cantSplit/>
        </w:trPr>
        <w:tc>
          <w:tcPr>
            <w:tcW w:type="dxa" w:w="2350"/>
            <w:vAlign w:val="center"/>
            <w:shd w:fill="FAFBFC"/>
            <w:tcMar>
              <w:top w:w="80" w:type="dxa"/>
              <w:start w:w="120" w:type="dxa"/>
              <w:bottom w:w="80" w:type="dxa"/>
              <w:end w:w="120" w:type="dxa"/>
            </w:tcMar>
          </w:tcPr>
          <w:p>
            <w:pPr>
              <w:spacing w:before="0" w:after="20" w:line="252" w:lineRule="auto"/>
              <w:jc w:val="left"/>
            </w:pPr>
            <w:r>
              <w:rPr>
                <w:color w:val="1D2733"/>
                <w:sz w:val="16"/>
              </w:rPr>
              <w:t>Early Rihuum OS pilot</w:t>
            </w:r>
          </w:p>
        </w:tc>
        <w:tc>
          <w:tcPr>
            <w:tcW w:type="dxa" w:w="3370"/>
            <w:vAlign w:val="center"/>
            <w:shd w:fill="FAFBFC"/>
            <w:tcMar>
              <w:top w:w="80" w:type="dxa"/>
              <w:start w:w="120" w:type="dxa"/>
              <w:bottom w:w="80" w:type="dxa"/>
              <w:end w:w="120" w:type="dxa"/>
            </w:tcMar>
          </w:tcPr>
          <w:p>
            <w:pPr>
              <w:spacing w:before="0" w:after="20" w:line="252" w:lineRule="auto"/>
              <w:jc w:val="left"/>
            </w:pPr>
            <w:r>
              <w:rPr>
                <w:color w:val="1D2733"/>
                <w:sz w:val="16"/>
              </w:rPr>
              <w:t>Conditionally suitable for low-risk tenants and bounded load</w:t>
            </w:r>
          </w:p>
        </w:tc>
        <w:tc>
          <w:tcPr>
            <w:tcW w:type="dxa" w:w="3640"/>
            <w:vAlign w:val="center"/>
            <w:shd w:fill="FAFBFC"/>
            <w:tcMar>
              <w:top w:w="80" w:type="dxa"/>
              <w:start w:w="120" w:type="dxa"/>
              <w:bottom w:w="80" w:type="dxa"/>
              <w:end w:w="120" w:type="dxa"/>
            </w:tcMar>
          </w:tcPr>
          <w:p>
            <w:pPr>
              <w:spacing w:before="0" w:after="20" w:line="252" w:lineRule="auto"/>
              <w:jc w:val="left"/>
            </w:pPr>
            <w:r>
              <w:rPr>
                <w:color w:val="1D2733"/>
                <w:sz w:val="16"/>
              </w:rPr>
              <w:t>Move before enterprise/high-risk data or sustained background processing</w:t>
            </w:r>
          </w:p>
        </w:tc>
      </w:tr>
      <w:tr>
        <w:trPr>
          <w:cantSplit/>
        </w:trPr>
        <w:tc>
          <w:tcPr>
            <w:tcW w:type="dxa" w:w="2350"/>
            <w:vAlign w:val="center"/>
            <w:tcMar>
              <w:top w:w="80" w:type="dxa"/>
              <w:start w:w="120" w:type="dxa"/>
              <w:bottom w:w="80" w:type="dxa"/>
              <w:end w:w="120" w:type="dxa"/>
            </w:tcMar>
          </w:tcPr>
          <w:p>
            <w:pPr>
              <w:spacing w:before="0" w:after="20" w:line="252" w:lineRule="auto"/>
              <w:jc w:val="left"/>
            </w:pPr>
            <w:r>
              <w:rPr>
                <w:color w:val="1D2733"/>
                <w:sz w:val="16"/>
              </w:rPr>
              <w:t>Client portals</w:t>
            </w:r>
          </w:p>
        </w:tc>
        <w:tc>
          <w:tcPr>
            <w:tcW w:type="dxa" w:w="3370"/>
            <w:vAlign w:val="center"/>
            <w:tcMar>
              <w:top w:w="80" w:type="dxa"/>
              <w:start w:w="120" w:type="dxa"/>
              <w:bottom w:w="80" w:type="dxa"/>
              <w:end w:w="120" w:type="dxa"/>
            </w:tcMar>
          </w:tcPr>
          <w:p>
            <w:pPr>
              <w:spacing w:before="0" w:after="20" w:line="252" w:lineRule="auto"/>
              <w:jc w:val="left"/>
            </w:pPr>
            <w:r>
              <w:rPr>
                <w:color w:val="1D2733"/>
                <w:sz w:val="16"/>
              </w:rPr>
              <w:t>Only after isolation, secure sessions, monitoring, backup and contractual fit are verified</w:t>
            </w:r>
          </w:p>
        </w:tc>
        <w:tc>
          <w:tcPr>
            <w:tcW w:type="dxa" w:w="3640"/>
            <w:vAlign w:val="center"/>
            <w:tcMar>
              <w:top w:w="80" w:type="dxa"/>
              <w:start w:w="120" w:type="dxa"/>
              <w:bottom w:w="80" w:type="dxa"/>
              <w:end w:w="120" w:type="dxa"/>
            </w:tcMar>
          </w:tcPr>
          <w:p>
            <w:pPr>
              <w:spacing w:before="0" w:after="20" w:line="252" w:lineRule="auto"/>
              <w:jc w:val="left"/>
            </w:pPr>
            <w:r>
              <w:rPr>
                <w:color w:val="1D2733"/>
                <w:sz w:val="16"/>
              </w:rPr>
              <w:t>Dedicated VPS/cloud for stronger isolation or SLA</w:t>
            </w:r>
          </w:p>
        </w:tc>
      </w:tr>
      <w:tr>
        <w:trPr>
          <w:cantSplit/>
        </w:trPr>
        <w:tc>
          <w:tcPr>
            <w:tcW w:type="dxa" w:w="2350"/>
            <w:vAlign w:val="center"/>
            <w:shd w:fill="FAFBFC"/>
            <w:tcMar>
              <w:top w:w="80" w:type="dxa"/>
              <w:start w:w="120" w:type="dxa"/>
              <w:bottom w:w="80" w:type="dxa"/>
              <w:end w:w="120" w:type="dxa"/>
            </w:tcMar>
          </w:tcPr>
          <w:p>
            <w:pPr>
              <w:spacing w:before="0" w:after="20" w:line="252" w:lineRule="auto"/>
              <w:jc w:val="left"/>
            </w:pPr>
            <w:r>
              <w:rPr>
                <w:color w:val="1D2733"/>
                <w:sz w:val="16"/>
              </w:rPr>
              <w:t>AI model inference</w:t>
            </w:r>
          </w:p>
        </w:tc>
        <w:tc>
          <w:tcPr>
            <w:tcW w:type="dxa" w:w="3370"/>
            <w:vAlign w:val="center"/>
            <w:shd w:fill="FAFBFC"/>
            <w:tcMar>
              <w:top w:w="80" w:type="dxa"/>
              <w:start w:w="120" w:type="dxa"/>
              <w:bottom w:w="80" w:type="dxa"/>
              <w:end w:w="120" w:type="dxa"/>
            </w:tcMar>
          </w:tcPr>
          <w:p>
            <w:pPr>
              <w:spacing w:before="0" w:after="20" w:line="252" w:lineRule="auto"/>
              <w:jc w:val="left"/>
            </w:pPr>
            <w:r>
              <w:rPr>
                <w:color w:val="1D2733"/>
                <w:sz w:val="16"/>
              </w:rPr>
              <w:t>Use external approved AI services through RIA; do not host heavy models</w:t>
            </w:r>
          </w:p>
        </w:tc>
        <w:tc>
          <w:tcPr>
            <w:tcW w:type="dxa" w:w="3640"/>
            <w:vAlign w:val="center"/>
            <w:shd w:fill="FAFBFC"/>
            <w:tcMar>
              <w:top w:w="80" w:type="dxa"/>
              <w:start w:w="120" w:type="dxa"/>
              <w:bottom w:w="80" w:type="dxa"/>
              <w:end w:w="120" w:type="dxa"/>
            </w:tcMar>
          </w:tcPr>
          <w:p>
            <w:pPr>
              <w:spacing w:before="0" w:after="20" w:line="252" w:lineRule="auto"/>
              <w:jc w:val="left"/>
            </w:pPr>
            <w:r>
              <w:rPr>
                <w:color w:val="1D2733"/>
                <w:sz w:val="16"/>
              </w:rPr>
              <w:t>GPU/cloud/private inference when economics, privacy and scale justify</w:t>
            </w:r>
          </w:p>
        </w:tc>
      </w:tr>
      <w:tr>
        <w:trPr>
          <w:cantSplit/>
        </w:trPr>
        <w:tc>
          <w:tcPr>
            <w:tcW w:type="dxa" w:w="2350"/>
            <w:vAlign w:val="center"/>
            <w:tcMar>
              <w:top w:w="80" w:type="dxa"/>
              <w:start w:w="120" w:type="dxa"/>
              <w:bottom w:w="80" w:type="dxa"/>
              <w:end w:w="120" w:type="dxa"/>
            </w:tcMar>
          </w:tcPr>
          <w:p>
            <w:pPr>
              <w:spacing w:before="0" w:after="20" w:line="252" w:lineRule="auto"/>
              <w:jc w:val="left"/>
            </w:pPr>
            <w:r>
              <w:rPr>
                <w:color w:val="1D2733"/>
                <w:sz w:val="16"/>
              </w:rPr>
              <w:t>Autonomous/long-running agents</w:t>
            </w:r>
          </w:p>
        </w:tc>
        <w:tc>
          <w:tcPr>
            <w:tcW w:type="dxa" w:w="3370"/>
            <w:vAlign w:val="center"/>
            <w:tcMar>
              <w:top w:w="80" w:type="dxa"/>
              <w:start w:w="120" w:type="dxa"/>
              <w:bottom w:w="80" w:type="dxa"/>
              <w:end w:w="120" w:type="dxa"/>
            </w:tcMar>
          </w:tcPr>
          <w:p>
            <w:pPr>
              <w:spacing w:before="0" w:after="20" w:line="252" w:lineRule="auto"/>
              <w:jc w:val="center"/>
            </w:pPr>
            <w:r>
              <w:rPr>
                <w:color w:val="1D2733"/>
                <w:sz w:val="16"/>
              </w:rPr>
              <w:t>Not suitable</w:t>
            </w:r>
          </w:p>
        </w:tc>
        <w:tc>
          <w:tcPr>
            <w:tcW w:type="dxa" w:w="3640"/>
            <w:vAlign w:val="center"/>
            <w:tcMar>
              <w:top w:w="80" w:type="dxa"/>
              <w:start w:w="120" w:type="dxa"/>
              <w:bottom w:w="80" w:type="dxa"/>
              <w:end w:w="120" w:type="dxa"/>
            </w:tcMar>
          </w:tcPr>
          <w:p>
            <w:pPr>
              <w:spacing w:before="0" w:after="20" w:line="252" w:lineRule="auto"/>
              <w:jc w:val="left"/>
            </w:pPr>
            <w:r>
              <w:rPr>
                <w:color w:val="1D2733"/>
                <w:sz w:val="16"/>
              </w:rPr>
              <w:t>Controlled worker infrastructure with queue, sandbox, observability and kill switch</w:t>
            </w:r>
          </w:p>
        </w:tc>
      </w:tr>
      <w:tr>
        <w:trPr>
          <w:cantSplit/>
        </w:trPr>
        <w:tc>
          <w:tcPr>
            <w:tcW w:type="dxa" w:w="2350"/>
            <w:vAlign w:val="center"/>
            <w:shd w:fill="FAFBFC"/>
            <w:tcMar>
              <w:top w:w="80" w:type="dxa"/>
              <w:start w:w="120" w:type="dxa"/>
              <w:bottom w:w="80" w:type="dxa"/>
              <w:end w:w="120" w:type="dxa"/>
            </w:tcMar>
          </w:tcPr>
          <w:p>
            <w:pPr>
              <w:spacing w:before="0" w:after="20" w:line="252" w:lineRule="auto"/>
              <w:jc w:val="left"/>
            </w:pPr>
            <w:r>
              <w:rPr>
                <w:color w:val="1D2733"/>
                <w:sz w:val="16"/>
              </w:rPr>
              <w:t>Video/CCTV storage and analytics</w:t>
            </w:r>
          </w:p>
        </w:tc>
        <w:tc>
          <w:tcPr>
            <w:tcW w:type="dxa" w:w="3370"/>
            <w:vAlign w:val="center"/>
            <w:shd w:fill="FAFBFC"/>
            <w:tcMar>
              <w:top w:w="80" w:type="dxa"/>
              <w:start w:w="120" w:type="dxa"/>
              <w:bottom w:w="80" w:type="dxa"/>
              <w:end w:w="120" w:type="dxa"/>
            </w:tcMar>
          </w:tcPr>
          <w:p>
            <w:pPr>
              <w:spacing w:before="0" w:after="20" w:line="252" w:lineRule="auto"/>
              <w:jc w:val="left"/>
            </w:pPr>
            <w:r>
              <w:rPr>
                <w:color w:val="1D2733"/>
                <w:sz w:val="16"/>
              </w:rPr>
              <w:t>Not suitable for operational scale</w:t>
            </w:r>
          </w:p>
        </w:tc>
        <w:tc>
          <w:tcPr>
            <w:tcW w:type="dxa" w:w="3640"/>
            <w:vAlign w:val="center"/>
            <w:shd w:fill="FAFBFC"/>
            <w:tcMar>
              <w:top w:w="80" w:type="dxa"/>
              <w:start w:w="120" w:type="dxa"/>
              <w:bottom w:w="80" w:type="dxa"/>
              <w:end w:w="120" w:type="dxa"/>
            </w:tcMar>
          </w:tcPr>
          <w:p>
            <w:pPr>
              <w:spacing w:before="0" w:after="20" w:line="252" w:lineRule="auto"/>
              <w:jc w:val="left"/>
            </w:pPr>
            <w:r>
              <w:rPr>
                <w:color w:val="1D2733"/>
                <w:sz w:val="16"/>
              </w:rPr>
              <w:t>Edge/NVR plus secure object storage or specialist platform</w:t>
            </w:r>
          </w:p>
        </w:tc>
      </w:tr>
      <w:tr>
        <w:trPr>
          <w:cantSplit/>
        </w:trPr>
        <w:tc>
          <w:tcPr>
            <w:tcW w:type="dxa" w:w="2350"/>
            <w:vAlign w:val="center"/>
            <w:tcMar>
              <w:top w:w="80" w:type="dxa"/>
              <w:start w:w="120" w:type="dxa"/>
              <w:bottom w:w="80" w:type="dxa"/>
              <w:end w:w="120" w:type="dxa"/>
            </w:tcMar>
          </w:tcPr>
          <w:p>
            <w:pPr>
              <w:spacing w:before="0" w:after="20" w:line="252" w:lineRule="auto"/>
              <w:jc w:val="left"/>
            </w:pPr>
            <w:r>
              <w:rPr>
                <w:color w:val="1D2733"/>
                <w:sz w:val="16"/>
              </w:rPr>
              <w:t>Telemetry ingestion</w:t>
            </w:r>
          </w:p>
        </w:tc>
        <w:tc>
          <w:tcPr>
            <w:tcW w:type="dxa" w:w="3370"/>
            <w:vAlign w:val="center"/>
            <w:tcMar>
              <w:top w:w="80" w:type="dxa"/>
              <w:start w:w="120" w:type="dxa"/>
              <w:bottom w:w="80" w:type="dxa"/>
              <w:end w:w="120" w:type="dxa"/>
            </w:tcMar>
          </w:tcPr>
          <w:p>
            <w:pPr>
              <w:spacing w:before="0" w:after="20" w:line="252" w:lineRule="auto"/>
              <w:jc w:val="left"/>
            </w:pPr>
            <w:r>
              <w:rPr>
                <w:color w:val="1D2733"/>
                <w:sz w:val="16"/>
              </w:rPr>
              <w:t>Only small pilots</w:t>
            </w:r>
          </w:p>
        </w:tc>
        <w:tc>
          <w:tcPr>
            <w:tcW w:type="dxa" w:w="3640"/>
            <w:vAlign w:val="center"/>
            <w:tcMar>
              <w:top w:w="80" w:type="dxa"/>
              <w:start w:w="120" w:type="dxa"/>
              <w:bottom w:w="80" w:type="dxa"/>
              <w:end w:w="120" w:type="dxa"/>
            </w:tcMar>
          </w:tcPr>
          <w:p>
            <w:pPr>
              <w:spacing w:before="0" w:after="20" w:line="252" w:lineRule="auto"/>
              <w:jc w:val="left"/>
            </w:pPr>
            <w:r>
              <w:rPr>
                <w:color w:val="1D2733"/>
                <w:sz w:val="16"/>
              </w:rPr>
              <w:t>VPS/cloud message ingestion, time-series storage and device security</w:t>
            </w:r>
          </w:p>
        </w:tc>
      </w:tr>
    </w:tbl>
    <w:p>
      <w:pPr>
        <w:pStyle w:val="Heading2"/>
      </w:pPr>
      <w:r>
        <w:t>Migration triggers</w:t>
      </w:r>
    </w:p>
    <w:p>
      <w:pPr>
        <w:pStyle w:val="Caption"/>
      </w:pPr>
      <w:r>
        <w:t>Table 23. Evidence that triggers infrastructure migration</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700"/>
        <w:gridCol w:w="4590"/>
        <w:gridCol w:w="3070"/>
      </w:tblGrid>
      <w:tr>
        <w:trPr>
          <w:tblHeader w:val="true"/>
          <w:cantSplit/>
        </w:trPr>
        <w:tc>
          <w:tcPr>
            <w:tcW w:type="dxa" w:w="1700"/>
            <w:vAlign w:val="center"/>
            <w:shd w:fill="F2F4F7"/>
            <w:tcMar>
              <w:top w:w="80" w:type="dxa"/>
              <w:start w:w="120" w:type="dxa"/>
              <w:bottom w:w="80" w:type="dxa"/>
              <w:end w:w="120" w:type="dxa"/>
            </w:tcMar>
          </w:tcPr>
          <w:p>
            <w:pPr>
              <w:spacing w:before="0" w:after="0"/>
              <w:jc w:val="center"/>
            </w:pPr>
            <w:r>
              <w:rPr>
                <w:b/>
                <w:color w:val="102A43"/>
                <w:sz w:val="18"/>
              </w:rPr>
              <w:t>Trigger class</w:t>
            </w:r>
          </w:p>
        </w:tc>
        <w:tc>
          <w:tcPr>
            <w:tcW w:type="dxa" w:w="4590"/>
            <w:vAlign w:val="center"/>
            <w:shd w:fill="F2F4F7"/>
            <w:tcMar>
              <w:top w:w="80" w:type="dxa"/>
              <w:start w:w="120" w:type="dxa"/>
              <w:bottom w:w="80" w:type="dxa"/>
              <w:end w:w="120" w:type="dxa"/>
            </w:tcMar>
          </w:tcPr>
          <w:p>
            <w:pPr>
              <w:spacing w:before="0" w:after="0"/>
              <w:jc w:val="center"/>
            </w:pPr>
            <w:r>
              <w:rPr>
                <w:b/>
                <w:color w:val="102A43"/>
                <w:sz w:val="18"/>
              </w:rPr>
              <w:t>Example signal</w:t>
            </w:r>
          </w:p>
        </w:tc>
        <w:tc>
          <w:tcPr>
            <w:tcW w:type="dxa" w:w="3070"/>
            <w:vAlign w:val="center"/>
            <w:shd w:fill="F2F4F7"/>
            <w:tcMar>
              <w:top w:w="80" w:type="dxa"/>
              <w:start w:w="120" w:type="dxa"/>
              <w:bottom w:w="80" w:type="dxa"/>
              <w:end w:w="120" w:type="dxa"/>
            </w:tcMar>
          </w:tcPr>
          <w:p>
            <w:pPr>
              <w:spacing w:before="0" w:after="0"/>
              <w:jc w:val="center"/>
            </w:pPr>
            <w:r>
              <w:rPr>
                <w:b/>
                <w:color w:val="102A43"/>
                <w:sz w:val="18"/>
              </w:rPr>
              <w:t>Response</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7"/>
              </w:rPr>
              <w:t>Reliability</w:t>
            </w:r>
          </w:p>
        </w:tc>
        <w:tc>
          <w:tcPr>
            <w:tcW w:type="dxa" w:w="4590"/>
            <w:vAlign w:val="center"/>
            <w:tcMar>
              <w:top w:w="80" w:type="dxa"/>
              <w:start w:w="120" w:type="dxa"/>
              <w:bottom w:w="80" w:type="dxa"/>
              <w:end w:w="120" w:type="dxa"/>
            </w:tcMar>
          </w:tcPr>
          <w:p>
            <w:pPr>
              <w:spacing w:before="0" w:after="20" w:line="252" w:lineRule="auto"/>
              <w:jc w:val="left"/>
            </w:pPr>
            <w:r>
              <w:rPr>
                <w:color w:val="1D2733"/>
                <w:sz w:val="17"/>
              </w:rPr>
              <w:t>Resource throttling, recurring latency, queue backlog, missed jobs or inability to meet recovery/availability objectives</w:t>
            </w:r>
          </w:p>
        </w:tc>
        <w:tc>
          <w:tcPr>
            <w:tcW w:type="dxa" w:w="3070"/>
            <w:vAlign w:val="center"/>
            <w:tcMar>
              <w:top w:w="80" w:type="dxa"/>
              <w:start w:w="120" w:type="dxa"/>
              <w:bottom w:w="80" w:type="dxa"/>
              <w:end w:w="120" w:type="dxa"/>
            </w:tcMar>
          </w:tcPr>
          <w:p>
            <w:pPr>
              <w:spacing w:before="0" w:after="20" w:line="252" w:lineRule="auto"/>
              <w:jc w:val="left"/>
            </w:pPr>
            <w:r>
              <w:rPr>
                <w:color w:val="1D2733"/>
                <w:sz w:val="17"/>
              </w:rPr>
              <w:t>Move affected application to managed VPS/container/cloud</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7"/>
              </w:rPr>
              <w:t>Security/privacy</w:t>
            </w:r>
          </w:p>
        </w:tc>
        <w:tc>
          <w:tcPr>
            <w:tcW w:type="dxa" w:w="4590"/>
            <w:vAlign w:val="center"/>
            <w:shd w:fill="FAFBFC"/>
            <w:tcMar>
              <w:top w:w="80" w:type="dxa"/>
              <w:start w:w="120" w:type="dxa"/>
              <w:bottom w:w="80" w:type="dxa"/>
              <w:end w:w="120" w:type="dxa"/>
            </w:tcMar>
          </w:tcPr>
          <w:p>
            <w:pPr>
              <w:spacing w:before="0" w:after="20" w:line="252" w:lineRule="auto"/>
              <w:jc w:val="left"/>
            </w:pPr>
            <w:r>
              <w:rPr>
                <w:color w:val="1D2733"/>
                <w:sz w:val="17"/>
              </w:rPr>
              <w:t>Enterprise isolation, log retention, encryption, network control, residency or vendor-assurance requirement</w:t>
            </w:r>
          </w:p>
        </w:tc>
        <w:tc>
          <w:tcPr>
            <w:tcW w:type="dxa" w:w="3070"/>
            <w:vAlign w:val="center"/>
            <w:shd w:fill="FAFBFC"/>
            <w:tcMar>
              <w:top w:w="80" w:type="dxa"/>
              <w:start w:w="120" w:type="dxa"/>
              <w:bottom w:w="80" w:type="dxa"/>
              <w:end w:w="120" w:type="dxa"/>
            </w:tcMar>
          </w:tcPr>
          <w:p>
            <w:pPr>
              <w:spacing w:before="0" w:after="20" w:line="252" w:lineRule="auto"/>
              <w:jc w:val="left"/>
            </w:pPr>
            <w:r>
              <w:rPr>
                <w:color w:val="1D2733"/>
                <w:sz w:val="17"/>
              </w:rPr>
              <w:t>Dedicated environment and stronger control plane</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7"/>
              </w:rPr>
              <w:t>Scale</w:t>
            </w:r>
          </w:p>
        </w:tc>
        <w:tc>
          <w:tcPr>
            <w:tcW w:type="dxa" w:w="4590"/>
            <w:vAlign w:val="center"/>
            <w:tcMar>
              <w:top w:w="80" w:type="dxa"/>
              <w:start w:w="120" w:type="dxa"/>
              <w:bottom w:w="80" w:type="dxa"/>
              <w:end w:w="120" w:type="dxa"/>
            </w:tcMar>
          </w:tcPr>
          <w:p>
            <w:pPr>
              <w:spacing w:before="0" w:after="20" w:line="252" w:lineRule="auto"/>
              <w:jc w:val="left"/>
            </w:pPr>
            <w:r>
              <w:rPr>
                <w:color w:val="1D2733"/>
                <w:sz w:val="17"/>
              </w:rPr>
              <w:t>Sustained users, storage, telemetry, AI inference or integration volume beyond plan constraints</w:t>
            </w:r>
          </w:p>
        </w:tc>
        <w:tc>
          <w:tcPr>
            <w:tcW w:type="dxa" w:w="3070"/>
            <w:vAlign w:val="center"/>
            <w:tcMar>
              <w:top w:w="80" w:type="dxa"/>
              <w:start w:w="120" w:type="dxa"/>
              <w:bottom w:w="80" w:type="dxa"/>
              <w:end w:w="120" w:type="dxa"/>
            </w:tcMar>
          </w:tcPr>
          <w:p>
            <w:pPr>
              <w:spacing w:before="0" w:after="20" w:line="252" w:lineRule="auto"/>
              <w:jc w:val="left"/>
            </w:pPr>
            <w:r>
              <w:rPr>
                <w:color w:val="1D2733"/>
                <w:sz w:val="17"/>
              </w:rPr>
              <w:t>Capacity design, load test and staged cutover</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7"/>
              </w:rPr>
              <w:t>Operations</w:t>
            </w:r>
          </w:p>
        </w:tc>
        <w:tc>
          <w:tcPr>
            <w:tcW w:type="dxa" w:w="4590"/>
            <w:vAlign w:val="center"/>
            <w:shd w:fill="FAFBFC"/>
            <w:tcMar>
              <w:top w:w="80" w:type="dxa"/>
              <w:start w:w="120" w:type="dxa"/>
              <w:bottom w:w="80" w:type="dxa"/>
              <w:end w:w="120" w:type="dxa"/>
            </w:tcMar>
          </w:tcPr>
          <w:p>
            <w:pPr>
              <w:spacing w:before="0" w:after="20" w:line="252" w:lineRule="auto"/>
              <w:jc w:val="left"/>
            </w:pPr>
            <w:r>
              <w:rPr>
                <w:color w:val="1D2733"/>
                <w:sz w:val="17"/>
              </w:rPr>
              <w:t>Need for workers, containers, Redis, private networks, blue/green deployment or full observability</w:t>
            </w:r>
          </w:p>
        </w:tc>
        <w:tc>
          <w:tcPr>
            <w:tcW w:type="dxa" w:w="3070"/>
            <w:vAlign w:val="center"/>
            <w:shd w:fill="FAFBFC"/>
            <w:tcMar>
              <w:top w:w="80" w:type="dxa"/>
              <w:start w:w="120" w:type="dxa"/>
              <w:bottom w:w="80" w:type="dxa"/>
              <w:end w:w="120" w:type="dxa"/>
            </w:tcMar>
          </w:tcPr>
          <w:p>
            <w:pPr>
              <w:spacing w:before="0" w:after="20" w:line="252" w:lineRule="auto"/>
              <w:jc w:val="left"/>
            </w:pPr>
            <w:r>
              <w:rPr>
                <w:color w:val="1D2733"/>
                <w:sz w:val="17"/>
              </w:rPr>
              <w:t>Platform migration with automated infrastructure</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7"/>
              </w:rPr>
              <w:t>Commercial</w:t>
            </w:r>
          </w:p>
        </w:tc>
        <w:tc>
          <w:tcPr>
            <w:tcW w:type="dxa" w:w="4590"/>
            <w:vAlign w:val="center"/>
            <w:tcMar>
              <w:top w:w="80" w:type="dxa"/>
              <w:start w:w="120" w:type="dxa"/>
              <w:bottom w:w="80" w:type="dxa"/>
              <w:end w:w="120" w:type="dxa"/>
            </w:tcMar>
          </w:tcPr>
          <w:p>
            <w:pPr>
              <w:spacing w:before="0" w:after="20" w:line="252" w:lineRule="auto"/>
              <w:jc w:val="left"/>
            </w:pPr>
            <w:r>
              <w:rPr>
                <w:color w:val="1D2733"/>
                <w:sz w:val="17"/>
              </w:rPr>
              <w:t>Client SLA, procurement, on-premise/private cloud, contractual audit or regional deployment</w:t>
            </w:r>
          </w:p>
        </w:tc>
        <w:tc>
          <w:tcPr>
            <w:tcW w:type="dxa" w:w="3070"/>
            <w:vAlign w:val="center"/>
            <w:tcMar>
              <w:top w:w="80" w:type="dxa"/>
              <w:start w:w="120" w:type="dxa"/>
              <w:bottom w:w="80" w:type="dxa"/>
              <w:end w:w="120" w:type="dxa"/>
            </w:tcMar>
          </w:tcPr>
          <w:p>
            <w:pPr>
              <w:spacing w:before="0" w:after="20" w:line="252" w:lineRule="auto"/>
              <w:jc w:val="left"/>
            </w:pPr>
            <w:r>
              <w:rPr>
                <w:color w:val="1D2733"/>
                <w:sz w:val="17"/>
              </w:rPr>
              <w:t>Approved enterprise deployment pattern</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7"/>
              </w:rPr>
              <w:t>Economics</w:t>
            </w:r>
          </w:p>
        </w:tc>
        <w:tc>
          <w:tcPr>
            <w:tcW w:type="dxa" w:w="4590"/>
            <w:vAlign w:val="center"/>
            <w:shd w:fill="FAFBFC"/>
            <w:tcMar>
              <w:top w:w="80" w:type="dxa"/>
              <w:start w:w="120" w:type="dxa"/>
              <w:bottom w:w="80" w:type="dxa"/>
              <w:end w:w="120" w:type="dxa"/>
            </w:tcMar>
          </w:tcPr>
          <w:p>
            <w:pPr>
              <w:spacing w:before="0" w:after="20" w:line="252" w:lineRule="auto"/>
              <w:jc w:val="left"/>
            </w:pPr>
            <w:r>
              <w:rPr>
                <w:color w:val="1D2733"/>
                <w:sz w:val="17"/>
              </w:rPr>
              <w:t>Managed migration lowers unit cost or risk at forecast demand</w:t>
            </w:r>
          </w:p>
        </w:tc>
        <w:tc>
          <w:tcPr>
            <w:tcW w:type="dxa" w:w="3070"/>
            <w:vAlign w:val="center"/>
            <w:shd w:fill="FAFBFC"/>
            <w:tcMar>
              <w:top w:w="80" w:type="dxa"/>
              <w:start w:w="120" w:type="dxa"/>
              <w:bottom w:w="80" w:type="dxa"/>
              <w:end w:w="120" w:type="dxa"/>
            </w:tcMar>
          </w:tcPr>
          <w:p>
            <w:pPr>
              <w:spacing w:before="0" w:after="20" w:line="252" w:lineRule="auto"/>
              <w:jc w:val="left"/>
            </w:pPr>
            <w:r>
              <w:rPr>
                <w:color w:val="1D2733"/>
                <w:sz w:val="17"/>
              </w:rPr>
              <w:t>Business case with total cost and exit plan</w:t>
            </w:r>
          </w:p>
        </w:tc>
      </w:tr>
    </w:tbl>
    <w:p>
      <w:pPr>
        <w:pStyle w:val="Heading2"/>
      </w:pPr>
      <w:r>
        <w:t>Migration method</w:t>
      </w:r>
    </w:p>
    <w:p>
      <w:pPr>
        <w:pStyle w:val="ListNumber"/>
        <w:keepLines/>
        <w:numPr>
          <w:ilvl w:val="0"/>
          <w:numId w:val="15"/>
        </w:numPr>
      </w:pPr>
      <w:r>
        <w:t>Inventory code, data, files, domains, certificates, jobs, integrations, secrets, logs, backups and operational dependencies.</w:t>
      </w:r>
    </w:p>
    <w:p>
      <w:pPr>
        <w:pStyle w:val="ListNumber"/>
        <w:keepLines/>
        <w:numPr>
          <w:ilvl w:val="0"/>
          <w:numId w:val="15"/>
        </w:numPr>
      </w:pPr>
      <w:r>
        <w:t>Build the target environment from documented configuration; rehearse deployment, migration, monitoring, security and restore.</w:t>
      </w:r>
    </w:p>
    <w:p>
      <w:pPr>
        <w:pStyle w:val="ListNumber"/>
        <w:keepLines/>
        <w:numPr>
          <w:ilvl w:val="0"/>
          <w:numId w:val="15"/>
        </w:numPr>
      </w:pPr>
      <w:r>
        <w:t>Run compatible data migrations and synchronisation; validate counts, checksums, permissions and critical business journeys.</w:t>
      </w:r>
    </w:p>
    <w:p>
      <w:pPr>
        <w:pStyle w:val="ListNumber"/>
        <w:keepLines/>
        <w:numPr>
          <w:ilvl w:val="0"/>
          <w:numId w:val="15"/>
        </w:numPr>
      </w:pPr>
      <w:r>
        <w:t>Lower DNS TTL in advance, take a final protected backup, freeze writes if needed and execute the approved cutover runbook.</w:t>
      </w:r>
    </w:p>
    <w:p>
      <w:pPr>
        <w:pStyle w:val="ListNumber"/>
        <w:keepLines/>
        <w:numPr>
          <w:ilvl w:val="0"/>
          <w:numId w:val="15"/>
        </w:numPr>
      </w:pPr>
      <w:r>
        <w:t>Smoke-test, monitor and communicate; keep the rollback window and old environment protected until acceptance criteria are met.</w:t>
      </w:r>
    </w:p>
    <w:p>
      <w:pPr>
        <w:pStyle w:val="ListNumber"/>
        <w:keepLines/>
        <w:numPr>
          <w:ilvl w:val="0"/>
          <w:numId w:val="15"/>
        </w:numPr>
      </w:pPr>
      <w:r>
        <w:t>Remove obsolete access and data safely, update diagrams/runbooks/contracts and complete a lessons review.</w:t>
      </w:r>
    </w:p>
    <w:p>
      <w:bookmarkStart w:id="13" w:name="sec13"/>
      <w:pPr>
        <w:pStyle w:val="Heading1"/>
        <w:keepNext/>
        <w:pageBreakBefore/>
      </w:pPr>
      <w:r>
        <w:t>SECTION 13 | Development, Testing, Staging, and Production Processes</w:t>
      </w:r>
      <w:bookmarkEnd w:id="13"/>
    </w:p>
    <w:p>
      <w:pPr>
        <w:pStyle w:val="LeadCallout"/>
        <w:shd w:fill="F4F6F9"/>
        <w:pBdr>
          <w:left w:val="single" w:sz="18" w:space="8" w:color="C99A2E"/>
        </w:pBdr>
      </w:pPr>
      <w:r>
        <w:rPr>
          <w:b/>
          <w:color w:val="102A43"/>
        </w:rPr>
        <w:t xml:space="preserve">Environment rule: </w:t>
      </w:r>
      <w:r>
        <w:t>Code moves forward through controlled environments; production data does not move backward into development. Each environment has a distinct purpose, identity, data rule and access boundary.</w:t>
      </w:r>
    </w:p>
    <w:p>
      <w:pPr>
        <w:pStyle w:val="Caption"/>
      </w:pPr>
      <w:r>
        <w:t>Table 24. Environment model</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400"/>
        <w:gridCol w:w="2600"/>
        <w:gridCol w:w="3100"/>
        <w:gridCol w:w="2260"/>
      </w:tblGrid>
      <w:tr>
        <w:trPr>
          <w:tblHeader w:val="true"/>
          <w:cantSplit/>
        </w:trPr>
        <w:tc>
          <w:tcPr>
            <w:tcW w:type="dxa" w:w="1400"/>
            <w:vAlign w:val="center"/>
            <w:shd w:fill="F2F4F7"/>
            <w:tcMar>
              <w:top w:w="80" w:type="dxa"/>
              <w:start w:w="120" w:type="dxa"/>
              <w:bottom w:w="80" w:type="dxa"/>
              <w:end w:w="120" w:type="dxa"/>
            </w:tcMar>
          </w:tcPr>
          <w:p>
            <w:pPr>
              <w:spacing w:before="0" w:after="0"/>
              <w:jc w:val="center"/>
            </w:pPr>
            <w:r>
              <w:rPr>
                <w:b/>
                <w:color w:val="102A43"/>
                <w:sz w:val="17"/>
              </w:rPr>
              <w:t>Environment</w:t>
            </w:r>
          </w:p>
        </w:tc>
        <w:tc>
          <w:tcPr>
            <w:tcW w:type="dxa" w:w="2600"/>
            <w:vAlign w:val="center"/>
            <w:shd w:fill="F2F4F7"/>
            <w:tcMar>
              <w:top w:w="80" w:type="dxa"/>
              <w:start w:w="120" w:type="dxa"/>
              <w:bottom w:w="80" w:type="dxa"/>
              <w:end w:w="120" w:type="dxa"/>
            </w:tcMar>
          </w:tcPr>
          <w:p>
            <w:pPr>
              <w:spacing w:before="0" w:after="0"/>
              <w:jc w:val="center"/>
            </w:pPr>
            <w:r>
              <w:rPr>
                <w:b/>
                <w:color w:val="102A43"/>
                <w:sz w:val="17"/>
              </w:rPr>
              <w:t>Purpose</w:t>
            </w:r>
          </w:p>
        </w:tc>
        <w:tc>
          <w:tcPr>
            <w:tcW w:type="dxa" w:w="3100"/>
            <w:vAlign w:val="center"/>
            <w:shd w:fill="F2F4F7"/>
            <w:tcMar>
              <w:top w:w="80" w:type="dxa"/>
              <w:start w:w="120" w:type="dxa"/>
              <w:bottom w:w="80" w:type="dxa"/>
              <w:end w:w="120" w:type="dxa"/>
            </w:tcMar>
          </w:tcPr>
          <w:p>
            <w:pPr>
              <w:spacing w:before="0" w:after="0"/>
              <w:jc w:val="center"/>
            </w:pPr>
            <w:r>
              <w:rPr>
                <w:b/>
                <w:color w:val="102A43"/>
                <w:sz w:val="17"/>
              </w:rPr>
              <w:t>Data and access</w:t>
            </w:r>
          </w:p>
        </w:tc>
        <w:tc>
          <w:tcPr>
            <w:tcW w:type="dxa" w:w="2260"/>
            <w:vAlign w:val="center"/>
            <w:shd w:fill="F2F4F7"/>
            <w:tcMar>
              <w:top w:w="80" w:type="dxa"/>
              <w:start w:w="120" w:type="dxa"/>
              <w:bottom w:w="80" w:type="dxa"/>
              <w:end w:w="120" w:type="dxa"/>
            </w:tcMar>
          </w:tcPr>
          <w:p>
            <w:pPr>
              <w:spacing w:before="0" w:after="0"/>
              <w:jc w:val="center"/>
            </w:pPr>
            <w:r>
              <w:rPr>
                <w:b/>
                <w:color w:val="102A43"/>
                <w:sz w:val="17"/>
              </w:rPr>
              <w:t>Deployment</w:t>
            </w:r>
          </w:p>
        </w:tc>
      </w:tr>
      <w:tr>
        <w:trPr>
          <w:cantSplit/>
        </w:trPr>
        <w:tc>
          <w:tcPr>
            <w:tcW w:type="dxa" w:w="1400"/>
            <w:vAlign w:val="center"/>
            <w:tcMar>
              <w:top w:w="80" w:type="dxa"/>
              <w:start w:w="120" w:type="dxa"/>
              <w:bottom w:w="80" w:type="dxa"/>
              <w:end w:w="120" w:type="dxa"/>
            </w:tcMar>
          </w:tcPr>
          <w:p>
            <w:pPr>
              <w:spacing w:before="0" w:after="20" w:line="252" w:lineRule="auto"/>
              <w:jc w:val="left"/>
            </w:pPr>
            <w:r>
              <w:rPr>
                <w:color w:val="1D2733"/>
                <w:sz w:val="16"/>
              </w:rPr>
              <w:t>Local/developer</w:t>
            </w:r>
          </w:p>
        </w:tc>
        <w:tc>
          <w:tcPr>
            <w:tcW w:type="dxa" w:w="2600"/>
            <w:vAlign w:val="center"/>
            <w:tcMar>
              <w:top w:w="80" w:type="dxa"/>
              <w:start w:w="120" w:type="dxa"/>
              <w:bottom w:w="80" w:type="dxa"/>
              <w:end w:w="120" w:type="dxa"/>
            </w:tcMar>
          </w:tcPr>
          <w:p>
            <w:pPr>
              <w:spacing w:before="0" w:after="20" w:line="252" w:lineRule="auto"/>
              <w:jc w:val="left"/>
            </w:pPr>
            <w:r>
              <w:rPr>
                <w:color w:val="1D2733"/>
                <w:sz w:val="16"/>
              </w:rPr>
              <w:t>Fast coding, unit tests and isolated experiments</w:t>
            </w:r>
          </w:p>
        </w:tc>
        <w:tc>
          <w:tcPr>
            <w:tcW w:type="dxa" w:w="3100"/>
            <w:vAlign w:val="center"/>
            <w:tcMar>
              <w:top w:w="80" w:type="dxa"/>
              <w:start w:w="120" w:type="dxa"/>
              <w:bottom w:w="80" w:type="dxa"/>
              <w:end w:w="120" w:type="dxa"/>
            </w:tcMar>
          </w:tcPr>
          <w:p>
            <w:pPr>
              <w:spacing w:before="0" w:after="20" w:line="252" w:lineRule="auto"/>
              <w:jc w:val="left"/>
            </w:pPr>
            <w:r>
              <w:rPr>
                <w:color w:val="1D2733"/>
                <w:sz w:val="16"/>
              </w:rPr>
              <w:t>Synthetic fixtures; developer-only secrets; no production credentials</w:t>
            </w:r>
          </w:p>
        </w:tc>
        <w:tc>
          <w:tcPr>
            <w:tcW w:type="dxa" w:w="2260"/>
            <w:vAlign w:val="center"/>
            <w:tcMar>
              <w:top w:w="80" w:type="dxa"/>
              <w:start w:w="120" w:type="dxa"/>
              <w:bottom w:w="80" w:type="dxa"/>
              <w:end w:w="120" w:type="dxa"/>
            </w:tcMar>
          </w:tcPr>
          <w:p>
            <w:pPr>
              <w:spacing w:before="0" w:after="20" w:line="252" w:lineRule="auto"/>
              <w:jc w:val="left"/>
            </w:pPr>
            <w:r>
              <w:rPr>
                <w:color w:val="1D2733"/>
                <w:sz w:val="16"/>
              </w:rPr>
              <w:t>Developer tooling and reproducible setup</w:t>
            </w:r>
          </w:p>
        </w:tc>
      </w:tr>
      <w:tr>
        <w:trPr>
          <w:cantSplit/>
        </w:trPr>
        <w:tc>
          <w:tcPr>
            <w:tcW w:type="dxa" w:w="1400"/>
            <w:vAlign w:val="center"/>
            <w:shd w:fill="FAFBFC"/>
            <w:tcMar>
              <w:top w:w="80" w:type="dxa"/>
              <w:start w:w="120" w:type="dxa"/>
              <w:bottom w:w="80" w:type="dxa"/>
              <w:end w:w="120" w:type="dxa"/>
            </w:tcMar>
          </w:tcPr>
          <w:p>
            <w:pPr>
              <w:spacing w:before="0" w:after="20" w:line="252" w:lineRule="auto"/>
              <w:jc w:val="left"/>
            </w:pPr>
            <w:r>
              <w:rPr>
                <w:color w:val="1D2733"/>
                <w:sz w:val="16"/>
              </w:rPr>
              <w:t>Integration</w:t>
            </w:r>
          </w:p>
        </w:tc>
        <w:tc>
          <w:tcPr>
            <w:tcW w:type="dxa" w:w="2600"/>
            <w:vAlign w:val="center"/>
            <w:shd w:fill="FAFBFC"/>
            <w:tcMar>
              <w:top w:w="80" w:type="dxa"/>
              <w:start w:w="120" w:type="dxa"/>
              <w:bottom w:w="80" w:type="dxa"/>
              <w:end w:w="120" w:type="dxa"/>
            </w:tcMar>
          </w:tcPr>
          <w:p>
            <w:pPr>
              <w:spacing w:before="0" w:after="20" w:line="252" w:lineRule="auto"/>
              <w:jc w:val="left"/>
            </w:pPr>
            <w:r>
              <w:rPr>
                <w:color w:val="1D2733"/>
                <w:sz w:val="16"/>
              </w:rPr>
              <w:t>Combined modules, APIs and automated workflows</w:t>
            </w:r>
          </w:p>
        </w:tc>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6"/>
              </w:rPr>
              <w:t>Synthetic or approved anonymised test data; team/service access</w:t>
            </w:r>
          </w:p>
        </w:tc>
        <w:tc>
          <w:tcPr>
            <w:tcW w:type="dxa" w:w="2260"/>
            <w:vAlign w:val="center"/>
            <w:shd w:fill="FAFBFC"/>
            <w:tcMar>
              <w:top w:w="80" w:type="dxa"/>
              <w:start w:w="120" w:type="dxa"/>
              <w:bottom w:w="80" w:type="dxa"/>
              <w:end w:w="120" w:type="dxa"/>
            </w:tcMar>
          </w:tcPr>
          <w:p>
            <w:pPr>
              <w:spacing w:before="0" w:after="20" w:line="252" w:lineRule="auto"/>
              <w:jc w:val="left"/>
            </w:pPr>
            <w:r>
              <w:rPr>
                <w:color w:val="1D2733"/>
                <w:sz w:val="16"/>
              </w:rPr>
              <w:t>Automatic from accepted changes</w:t>
            </w:r>
          </w:p>
        </w:tc>
      </w:tr>
      <w:tr>
        <w:trPr>
          <w:cantSplit/>
        </w:trPr>
        <w:tc>
          <w:tcPr>
            <w:tcW w:type="dxa" w:w="1400"/>
            <w:vAlign w:val="center"/>
            <w:tcMar>
              <w:top w:w="80" w:type="dxa"/>
              <w:start w:w="120" w:type="dxa"/>
              <w:bottom w:w="80" w:type="dxa"/>
              <w:end w:w="120" w:type="dxa"/>
            </w:tcMar>
          </w:tcPr>
          <w:p>
            <w:pPr>
              <w:spacing w:before="0" w:after="20" w:line="252" w:lineRule="auto"/>
              <w:jc w:val="left"/>
            </w:pPr>
            <w:r>
              <w:rPr>
                <w:color w:val="1D2733"/>
                <w:sz w:val="16"/>
              </w:rPr>
              <w:t>Test/QA</w:t>
            </w:r>
          </w:p>
        </w:tc>
        <w:tc>
          <w:tcPr>
            <w:tcW w:type="dxa" w:w="2600"/>
            <w:vAlign w:val="center"/>
            <w:tcMar>
              <w:top w:w="80" w:type="dxa"/>
              <w:start w:w="120" w:type="dxa"/>
              <w:bottom w:w="80" w:type="dxa"/>
              <w:end w:w="120" w:type="dxa"/>
            </w:tcMar>
          </w:tcPr>
          <w:p>
            <w:pPr>
              <w:spacing w:before="0" w:after="20" w:line="252" w:lineRule="auto"/>
              <w:jc w:val="left"/>
            </w:pPr>
            <w:r>
              <w:rPr>
                <w:color w:val="1D2733"/>
                <w:sz w:val="16"/>
              </w:rPr>
              <w:t>Functional, regression, security, accessibility and performance testing</w:t>
            </w:r>
          </w:p>
        </w:tc>
        <w:tc>
          <w:tcPr>
            <w:tcW w:type="dxa" w:w="3100"/>
            <w:vAlign w:val="center"/>
            <w:tcMar>
              <w:top w:w="80" w:type="dxa"/>
              <w:start w:w="120" w:type="dxa"/>
              <w:bottom w:w="80" w:type="dxa"/>
              <w:end w:w="120" w:type="dxa"/>
            </w:tcMar>
          </w:tcPr>
          <w:p>
            <w:pPr>
              <w:spacing w:before="0" w:after="20" w:line="252" w:lineRule="auto"/>
              <w:jc w:val="left"/>
            </w:pPr>
            <w:r>
              <w:rPr>
                <w:color w:val="1D2733"/>
                <w:sz w:val="16"/>
              </w:rPr>
              <w:t>Controlled test identities/data; QA and authorised testers</w:t>
            </w:r>
          </w:p>
        </w:tc>
        <w:tc>
          <w:tcPr>
            <w:tcW w:type="dxa" w:w="2260"/>
            <w:vAlign w:val="center"/>
            <w:tcMar>
              <w:top w:w="80" w:type="dxa"/>
              <w:start w:w="120" w:type="dxa"/>
              <w:bottom w:w="80" w:type="dxa"/>
              <w:end w:w="120" w:type="dxa"/>
            </w:tcMar>
          </w:tcPr>
          <w:p>
            <w:pPr>
              <w:spacing w:before="0" w:after="20" w:line="252" w:lineRule="auto"/>
              <w:jc w:val="left"/>
            </w:pPr>
            <w:r>
              <w:rPr>
                <w:color w:val="1D2733"/>
                <w:sz w:val="16"/>
              </w:rPr>
              <w:t>Versioned release candidate</w:t>
            </w:r>
          </w:p>
        </w:tc>
      </w:tr>
      <w:tr>
        <w:trPr>
          <w:cantSplit/>
        </w:trPr>
        <w:tc>
          <w:tcPr>
            <w:tcW w:type="dxa" w:w="1400"/>
            <w:vAlign w:val="center"/>
            <w:shd w:fill="FAFBFC"/>
            <w:tcMar>
              <w:top w:w="80" w:type="dxa"/>
              <w:start w:w="120" w:type="dxa"/>
              <w:bottom w:w="80" w:type="dxa"/>
              <w:end w:w="120" w:type="dxa"/>
            </w:tcMar>
          </w:tcPr>
          <w:p>
            <w:pPr>
              <w:spacing w:before="0" w:after="20" w:line="252" w:lineRule="auto"/>
              <w:jc w:val="left"/>
            </w:pPr>
            <w:r>
              <w:rPr>
                <w:color w:val="1D2733"/>
                <w:sz w:val="16"/>
              </w:rPr>
              <w:t>Staging/UAT</w:t>
            </w:r>
          </w:p>
        </w:tc>
        <w:tc>
          <w:tcPr>
            <w:tcW w:type="dxa" w:w="2600"/>
            <w:vAlign w:val="center"/>
            <w:shd w:fill="FAFBFC"/>
            <w:tcMar>
              <w:top w:w="80" w:type="dxa"/>
              <w:start w:w="120" w:type="dxa"/>
              <w:bottom w:w="80" w:type="dxa"/>
              <w:end w:w="120" w:type="dxa"/>
            </w:tcMar>
          </w:tcPr>
          <w:p>
            <w:pPr>
              <w:spacing w:before="0" w:after="20" w:line="252" w:lineRule="auto"/>
              <w:jc w:val="left"/>
            </w:pPr>
            <w:r>
              <w:rPr>
                <w:color w:val="1D2733"/>
                <w:sz w:val="16"/>
              </w:rPr>
              <w:t>Production-like rehearsal and customer acceptance</w:t>
            </w:r>
          </w:p>
        </w:tc>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6"/>
              </w:rPr>
              <w:t>Representative minimised data; no uncontrolled production copy</w:t>
            </w:r>
          </w:p>
        </w:tc>
        <w:tc>
          <w:tcPr>
            <w:tcW w:type="dxa" w:w="2260"/>
            <w:vAlign w:val="center"/>
            <w:shd w:fill="FAFBFC"/>
            <w:tcMar>
              <w:top w:w="80" w:type="dxa"/>
              <w:start w:w="120" w:type="dxa"/>
              <w:bottom w:w="80" w:type="dxa"/>
              <w:end w:w="120" w:type="dxa"/>
            </w:tcMar>
          </w:tcPr>
          <w:p>
            <w:pPr>
              <w:spacing w:before="0" w:after="20" w:line="252" w:lineRule="auto"/>
              <w:jc w:val="left"/>
            </w:pPr>
            <w:r>
              <w:rPr>
                <w:color w:val="1D2733"/>
                <w:sz w:val="16"/>
              </w:rPr>
              <w:t>Same artefact and migration path as production</w:t>
            </w:r>
          </w:p>
        </w:tc>
      </w:tr>
      <w:tr>
        <w:trPr>
          <w:cantSplit/>
        </w:trPr>
        <w:tc>
          <w:tcPr>
            <w:tcW w:type="dxa" w:w="1400"/>
            <w:vAlign w:val="center"/>
            <w:tcMar>
              <w:top w:w="80" w:type="dxa"/>
              <w:start w:w="120" w:type="dxa"/>
              <w:bottom w:w="80" w:type="dxa"/>
              <w:end w:w="120" w:type="dxa"/>
            </w:tcMar>
          </w:tcPr>
          <w:p>
            <w:pPr>
              <w:spacing w:before="0" w:after="20" w:line="252" w:lineRule="auto"/>
              <w:jc w:val="left"/>
            </w:pPr>
            <w:r>
              <w:rPr>
                <w:color w:val="1D2733"/>
                <w:sz w:val="16"/>
              </w:rPr>
              <w:t>Production</w:t>
            </w:r>
          </w:p>
        </w:tc>
        <w:tc>
          <w:tcPr>
            <w:tcW w:type="dxa" w:w="2600"/>
            <w:vAlign w:val="center"/>
            <w:tcMar>
              <w:top w:w="80" w:type="dxa"/>
              <w:start w:w="120" w:type="dxa"/>
              <w:bottom w:w="80" w:type="dxa"/>
              <w:end w:w="120" w:type="dxa"/>
            </w:tcMar>
          </w:tcPr>
          <w:p>
            <w:pPr>
              <w:spacing w:before="0" w:after="20" w:line="252" w:lineRule="auto"/>
              <w:jc w:val="left"/>
            </w:pPr>
            <w:r>
              <w:rPr>
                <w:color w:val="1D2733"/>
                <w:sz w:val="16"/>
              </w:rPr>
              <w:t>Live contracted service</w:t>
            </w:r>
          </w:p>
        </w:tc>
        <w:tc>
          <w:tcPr>
            <w:tcW w:type="dxa" w:w="3100"/>
            <w:vAlign w:val="center"/>
            <w:tcMar>
              <w:top w:w="80" w:type="dxa"/>
              <w:start w:w="120" w:type="dxa"/>
              <w:bottom w:w="80" w:type="dxa"/>
              <w:end w:w="120" w:type="dxa"/>
            </w:tcMar>
          </w:tcPr>
          <w:p>
            <w:pPr>
              <w:spacing w:before="0" w:after="20" w:line="252" w:lineRule="auto"/>
              <w:jc w:val="left"/>
            </w:pPr>
            <w:r>
              <w:rPr>
                <w:color w:val="1D2733"/>
                <w:sz w:val="16"/>
              </w:rPr>
              <w:t>Real data; least privilege; privileged access monitored and reviewed</w:t>
            </w:r>
          </w:p>
        </w:tc>
        <w:tc>
          <w:tcPr>
            <w:tcW w:type="dxa" w:w="2260"/>
            <w:vAlign w:val="center"/>
            <w:tcMar>
              <w:top w:w="80" w:type="dxa"/>
              <w:start w:w="120" w:type="dxa"/>
              <w:bottom w:w="80" w:type="dxa"/>
              <w:end w:w="120" w:type="dxa"/>
            </w:tcMar>
          </w:tcPr>
          <w:p>
            <w:pPr>
              <w:spacing w:before="0" w:after="20" w:line="252" w:lineRule="auto"/>
              <w:jc w:val="left"/>
            </w:pPr>
            <w:r>
              <w:rPr>
                <w:color w:val="1D2733"/>
                <w:sz w:val="16"/>
              </w:rPr>
              <w:t>Approved, logged release with backup, smoke test and rollback</w:t>
            </w:r>
          </w:p>
        </w:tc>
      </w:tr>
      <w:tr>
        <w:trPr>
          <w:cantSplit/>
        </w:trPr>
        <w:tc>
          <w:tcPr>
            <w:tcW w:type="dxa" w:w="1400"/>
            <w:vAlign w:val="center"/>
            <w:shd w:fill="FAFBFC"/>
            <w:tcMar>
              <w:top w:w="80" w:type="dxa"/>
              <w:start w:w="120" w:type="dxa"/>
              <w:bottom w:w="80" w:type="dxa"/>
              <w:end w:w="120" w:type="dxa"/>
            </w:tcMar>
          </w:tcPr>
          <w:p>
            <w:pPr>
              <w:spacing w:before="0" w:after="20" w:line="252" w:lineRule="auto"/>
              <w:jc w:val="left"/>
            </w:pPr>
            <w:r>
              <w:rPr>
                <w:color w:val="1D2733"/>
                <w:sz w:val="16"/>
              </w:rPr>
              <w:t>Sandbox/demo</w:t>
            </w:r>
          </w:p>
        </w:tc>
        <w:tc>
          <w:tcPr>
            <w:tcW w:type="dxa" w:w="2600"/>
            <w:vAlign w:val="center"/>
            <w:shd w:fill="FAFBFC"/>
            <w:tcMar>
              <w:top w:w="80" w:type="dxa"/>
              <w:start w:w="120" w:type="dxa"/>
              <w:bottom w:w="80" w:type="dxa"/>
              <w:end w:w="120" w:type="dxa"/>
            </w:tcMar>
          </w:tcPr>
          <w:p>
            <w:pPr>
              <w:spacing w:before="0" w:after="20" w:line="252" w:lineRule="auto"/>
              <w:jc w:val="left"/>
            </w:pPr>
            <w:r>
              <w:rPr>
                <w:color w:val="1D2733"/>
                <w:sz w:val="16"/>
              </w:rPr>
              <w:t>Sales demos, training and integration trials</w:t>
            </w:r>
          </w:p>
        </w:tc>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6"/>
              </w:rPr>
              <w:t>Clearly non-production; synthetic tenants; resets and expiry</w:t>
            </w:r>
          </w:p>
        </w:tc>
        <w:tc>
          <w:tcPr>
            <w:tcW w:type="dxa" w:w="2260"/>
            <w:vAlign w:val="center"/>
            <w:shd w:fill="FAFBFC"/>
            <w:tcMar>
              <w:top w:w="80" w:type="dxa"/>
              <w:start w:w="120" w:type="dxa"/>
              <w:bottom w:w="80" w:type="dxa"/>
              <w:end w:w="120" w:type="dxa"/>
            </w:tcMar>
          </w:tcPr>
          <w:p>
            <w:pPr>
              <w:spacing w:before="0" w:after="20" w:line="252" w:lineRule="auto"/>
              <w:jc w:val="left"/>
            </w:pPr>
            <w:r>
              <w:rPr>
                <w:color w:val="1D2733"/>
                <w:sz w:val="16"/>
              </w:rPr>
              <w:t>Approved demo build; isolated from live clients</w:t>
            </w:r>
          </w:p>
        </w:tc>
      </w:tr>
    </w:tbl>
    <w:p>
      <w:pPr>
        <w:pStyle w:val="Heading2"/>
      </w:pPr>
      <w:r>
        <w:t>Promotion controls</w:t>
      </w:r>
    </w:p>
    <w:p>
      <w:pPr>
        <w:pStyle w:val="ListNumber"/>
        <w:keepLines/>
        <w:numPr>
          <w:ilvl w:val="0"/>
          <w:numId w:val="16"/>
        </w:numPr>
      </w:pPr>
      <w:r>
        <w:t>A change is linked to an approved requirement, reviewed code and test evidence.</w:t>
      </w:r>
    </w:p>
    <w:p>
      <w:pPr>
        <w:pStyle w:val="ListNumber"/>
        <w:keepLines/>
        <w:numPr>
          <w:ilvl w:val="0"/>
          <w:numId w:val="16"/>
        </w:numPr>
      </w:pPr>
      <w:r>
        <w:t>CI produces a uniquely identified artefact and records dependency/security checks.</w:t>
      </w:r>
    </w:p>
    <w:p>
      <w:pPr>
        <w:pStyle w:val="ListNumber"/>
        <w:keepLines/>
        <w:numPr>
          <w:ilvl w:val="0"/>
          <w:numId w:val="16"/>
        </w:numPr>
      </w:pPr>
      <w:r>
        <w:t>The same artefact is deployed to staging, where migrations, configuration, smoke tests and rollback are rehearsed.</w:t>
      </w:r>
    </w:p>
    <w:p>
      <w:pPr>
        <w:pStyle w:val="ListNumber"/>
        <w:keepLines/>
        <w:numPr>
          <w:ilvl w:val="0"/>
          <w:numId w:val="16"/>
        </w:numPr>
      </w:pPr>
      <w:r>
        <w:t>Release approval confirms residual risk, communications, support coverage, monitoring, backup and recovery readiness.</w:t>
      </w:r>
    </w:p>
    <w:p>
      <w:pPr>
        <w:pStyle w:val="ListNumber"/>
        <w:keepLines/>
        <w:numPr>
          <w:ilvl w:val="0"/>
          <w:numId w:val="16"/>
        </w:numPr>
      </w:pPr>
      <w:r>
        <w:t>Production deployment is logged; health and critical business journeys are verified before the release is closed.</w:t>
      </w:r>
    </w:p>
    <w:p>
      <w:pPr>
        <w:pStyle w:val="Heading2"/>
      </w:pPr>
      <w:r>
        <w:t>Secrets, external assets and manual configuration</w:t>
      </w:r>
    </w:p>
    <w:p>
      <w:pPr>
        <w:pStyle w:val="ListBullet"/>
        <w:keepLines/>
      </w:pPr>
      <w:r>
        <w:t>RME 0.3 Configuration Centre is the controlled intake for public identifiers, provider references, environment settings, feature state and activation evidence.</w:t>
      </w:r>
    </w:p>
    <w:p>
      <w:pPr>
        <w:pStyle w:val="ListBullet"/>
        <w:keepLines/>
      </w:pPr>
      <w:r>
        <w:t>Secrets, private keys and provider credentials remain encrypted or server-side; they never appear in browser payloads, public documents, source control or ordinary logs.</w:t>
      </w:r>
    </w:p>
    <w:p>
      <w:pPr>
        <w:pStyle w:val="ListBullet"/>
        <w:keepLines/>
      </w:pPr>
      <w:r>
        <w:t>Every entry records environment, owner, source, classification, verification state, test evidence, effective date and rollback/deactivation method.</w:t>
      </w:r>
    </w:p>
    <w:p>
      <w:pPr>
        <w:pStyle w:val="ListBullet"/>
        <w:keepLines/>
      </w:pPr>
      <w:r>
        <w:t>Missing values display “Not configured” or “Pending verification”; fabricated identifiers, sample production keys and silent defaults are prohibited.</w:t>
      </w:r>
    </w:p>
    <w:p>
      <w:pPr>
        <w:pStyle w:val="ListBullet"/>
        <w:keepLines/>
      </w:pPr>
      <w:r>
        <w:t>Feature flags remain disabled until the corresponding asset, provider contract, consent/privacy review, sandbox/UAT, monitoring and approval gates pass.</w:t>
      </w:r>
    </w:p>
    <w:p>
      <w:pPr>
        <w:pStyle w:val="Heading2"/>
      </w:pPr>
      <w:r>
        <w:t>Production access</w:t>
      </w:r>
    </w:p>
    <w:p>
      <w:r>
        <w:t>Direct production modification is prohibited except through a documented emergency procedure. Privileged access requires named accounts, MFA where supported, approval proportionate to risk, session/action logging, time-bounded elevation and post-use review. Database changes use versioned migrations; manual repair scripts are reviewed, backed up, logged and retained as controlled artefacts.</w:t>
      </w:r>
    </w:p>
    <w:p>
      <w:bookmarkStart w:id="14" w:name="sec14"/>
      <w:pPr>
        <w:pStyle w:val="Heading1"/>
        <w:keepNext/>
        <w:pageBreakBefore/>
      </w:pPr>
      <w:r>
        <w:t>SECTION 14 | Version Control and Release Management</w:t>
      </w:r>
      <w:bookmarkEnd w:id="14"/>
    </w:p>
    <w:p>
      <w:pPr>
        <w:pStyle w:val="LeadCallout"/>
        <w:shd w:fill="F4F6F9"/>
        <w:pBdr>
          <w:left w:val="single" w:sz="18" w:space="8" w:color="C99A2E"/>
        </w:pBdr>
      </w:pPr>
      <w:r>
        <w:rPr>
          <w:b/>
          <w:color w:val="102A43"/>
        </w:rPr>
        <w:t xml:space="preserve">Source-of-truth rule: </w:t>
      </w:r>
      <w:r>
        <w:t>If code, infrastructure configuration, schema, prompt, policy-as-code or deployment procedure affects production, its controlled version belongs in an approved repository or document system with an owner and change history.</w:t>
      </w:r>
    </w:p>
    <w:p>
      <w:pPr>
        <w:pStyle w:val="Heading2"/>
      </w:pPr>
      <w:r>
        <w:t>Repository standard</w:t>
      </w:r>
    </w:p>
    <w:p>
      <w:pPr>
        <w:pStyle w:val="ListBullet"/>
        <w:keepLines/>
      </w:pPr>
      <w:r>
        <w:t>One accountable owner, product/service classification, README, setup, architecture link, support status and licence notice.</w:t>
      </w:r>
    </w:p>
    <w:p>
      <w:pPr>
        <w:pStyle w:val="ListBullet"/>
        <w:keepLines/>
      </w:pPr>
      <w:r>
        <w:t>Protected main branch, required peer review, successful checks, traceable work item and no committed secrets.</w:t>
      </w:r>
    </w:p>
    <w:p>
      <w:pPr>
        <w:pStyle w:val="ListBullet"/>
        <w:keepLines/>
      </w:pPr>
      <w:r>
        <w:t>Short-lived branches or trunk-based development; long-lived release branches only where a maintained version requires them.</w:t>
      </w:r>
    </w:p>
    <w:p>
      <w:pPr>
        <w:pStyle w:val="ListBullet"/>
        <w:keepLines/>
      </w:pPr>
      <w:r>
        <w:t>CODEOWNERS or equivalent for security-critical, platform, infrastructure, billing and data migration areas.</w:t>
      </w:r>
    </w:p>
    <w:p>
      <w:pPr>
        <w:pStyle w:val="ListBullet"/>
        <w:keepLines/>
      </w:pPr>
      <w:r>
        <w:t>Dependency lockfiles, automated update workflow, release tags, changelog and retained build/release evidence.</w:t>
      </w:r>
    </w:p>
    <w:p>
      <w:pPr>
        <w:pStyle w:val="ListBullet"/>
        <w:keepLines/>
      </w:pPr>
      <w:r>
        <w:t>Access review at least quarterly and immediately after role change, departure, compromise or vendor change.</w:t>
      </w:r>
    </w:p>
    <w:p>
      <w:pPr>
        <w:pStyle w:val="Heading2"/>
      </w:pPr>
      <w:r>
        <w:t>Release classes</w:t>
      </w:r>
    </w:p>
    <w:p>
      <w:pPr>
        <w:pStyle w:val="Caption"/>
      </w:pPr>
      <w:r>
        <w:t>Table 25. Release classes and approval</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500"/>
        <w:gridCol w:w="4540"/>
        <w:gridCol w:w="3320"/>
      </w:tblGrid>
      <w:tr>
        <w:trPr>
          <w:tblHeader w:val="true"/>
          <w:cantSplit/>
        </w:trPr>
        <w:tc>
          <w:tcPr>
            <w:tcW w:type="dxa" w:w="1500"/>
            <w:vAlign w:val="center"/>
            <w:shd w:fill="F2F4F7"/>
            <w:tcMar>
              <w:top w:w="80" w:type="dxa"/>
              <w:start w:w="120" w:type="dxa"/>
              <w:bottom w:w="80" w:type="dxa"/>
              <w:end w:w="120" w:type="dxa"/>
            </w:tcMar>
          </w:tcPr>
          <w:p>
            <w:pPr>
              <w:spacing w:before="0" w:after="0"/>
              <w:jc w:val="center"/>
            </w:pPr>
            <w:r>
              <w:rPr>
                <w:b/>
                <w:color w:val="102A43"/>
                <w:sz w:val="18"/>
              </w:rPr>
              <w:t>Class</w:t>
            </w:r>
          </w:p>
        </w:tc>
        <w:tc>
          <w:tcPr>
            <w:tcW w:type="dxa" w:w="4540"/>
            <w:vAlign w:val="center"/>
            <w:shd w:fill="F2F4F7"/>
            <w:tcMar>
              <w:top w:w="80" w:type="dxa"/>
              <w:start w:w="120" w:type="dxa"/>
              <w:bottom w:w="80" w:type="dxa"/>
              <w:end w:w="120" w:type="dxa"/>
            </w:tcMar>
          </w:tcPr>
          <w:p>
            <w:pPr>
              <w:spacing w:before="0" w:after="0"/>
              <w:jc w:val="center"/>
            </w:pPr>
            <w:r>
              <w:rPr>
                <w:b/>
                <w:color w:val="102A43"/>
                <w:sz w:val="18"/>
              </w:rPr>
              <w:t>Typical change</w:t>
            </w:r>
          </w:p>
        </w:tc>
        <w:tc>
          <w:tcPr>
            <w:tcW w:type="dxa" w:w="3320"/>
            <w:vAlign w:val="center"/>
            <w:shd w:fill="F2F4F7"/>
            <w:tcMar>
              <w:top w:w="80" w:type="dxa"/>
              <w:start w:w="120" w:type="dxa"/>
              <w:bottom w:w="80" w:type="dxa"/>
              <w:end w:w="120" w:type="dxa"/>
            </w:tcMar>
          </w:tcPr>
          <w:p>
            <w:pPr>
              <w:spacing w:before="0" w:after="0"/>
              <w:jc w:val="left"/>
            </w:pPr>
            <w:r>
              <w:rPr>
                <w:b/>
                <w:color w:val="102A43"/>
                <w:sz w:val="18"/>
              </w:rPr>
              <w:t>Minimum approval</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7"/>
              </w:rPr>
              <w:t>Standard</w:t>
            </w:r>
          </w:p>
        </w:tc>
        <w:tc>
          <w:tcPr>
            <w:tcW w:type="dxa" w:w="4540"/>
            <w:vAlign w:val="center"/>
            <w:tcMar>
              <w:top w:w="80" w:type="dxa"/>
              <w:start w:w="120" w:type="dxa"/>
              <w:bottom w:w="80" w:type="dxa"/>
              <w:end w:w="120" w:type="dxa"/>
            </w:tcMar>
          </w:tcPr>
          <w:p>
            <w:pPr>
              <w:spacing w:before="0" w:after="20" w:line="252" w:lineRule="auto"/>
              <w:jc w:val="left"/>
            </w:pPr>
            <w:r>
              <w:rPr>
                <w:color w:val="1D2733"/>
                <w:sz w:val="17"/>
              </w:rPr>
              <w:t>Planned backward-compatible feature, fix or configuration</w:t>
            </w:r>
          </w:p>
        </w:tc>
        <w:tc>
          <w:tcPr>
            <w:tcW w:type="dxa" w:w="3320"/>
            <w:vAlign w:val="center"/>
            <w:tcMar>
              <w:top w:w="80" w:type="dxa"/>
              <w:start w:w="120" w:type="dxa"/>
              <w:bottom w:w="80" w:type="dxa"/>
              <w:end w:w="120" w:type="dxa"/>
            </w:tcMar>
          </w:tcPr>
          <w:p>
            <w:pPr>
              <w:spacing w:before="0" w:after="20" w:line="252" w:lineRule="auto"/>
              <w:jc w:val="left"/>
            </w:pPr>
            <w:r>
              <w:rPr>
                <w:color w:val="1D2733"/>
                <w:sz w:val="17"/>
              </w:rPr>
              <w:t>Product/engineering owner after automated gates and staging acceptance</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7"/>
              </w:rPr>
              <w:t>Major</w:t>
            </w:r>
          </w:p>
        </w:tc>
        <w:tc>
          <w:tcPr>
            <w:tcW w:type="dxa" w:w="4540"/>
            <w:vAlign w:val="center"/>
            <w:shd w:fill="FAFBFC"/>
            <w:tcMar>
              <w:top w:w="80" w:type="dxa"/>
              <w:start w:w="120" w:type="dxa"/>
              <w:bottom w:w="80" w:type="dxa"/>
              <w:end w:w="120" w:type="dxa"/>
            </w:tcMar>
          </w:tcPr>
          <w:p>
            <w:pPr>
              <w:spacing w:before="0" w:after="20" w:line="252" w:lineRule="auto"/>
              <w:jc w:val="left"/>
            </w:pPr>
            <w:r>
              <w:rPr>
                <w:color w:val="1D2733"/>
                <w:sz w:val="17"/>
              </w:rPr>
              <w:t>Breaking API, material workflow, architecture, data or contract change</w:t>
            </w:r>
          </w:p>
        </w:tc>
        <w:tc>
          <w:tcPr>
            <w:tcW w:type="dxa" w:w="3320"/>
            <w:vAlign w:val="center"/>
            <w:shd w:fill="FAFBFC"/>
            <w:tcMar>
              <w:top w:w="80" w:type="dxa"/>
              <w:start w:w="120" w:type="dxa"/>
              <w:bottom w:w="80" w:type="dxa"/>
              <w:end w:w="120" w:type="dxa"/>
            </w:tcMar>
          </w:tcPr>
          <w:p>
            <w:pPr>
              <w:spacing w:before="0" w:after="20" w:line="252" w:lineRule="auto"/>
              <w:jc w:val="left"/>
            </w:pPr>
            <w:r>
              <w:rPr>
                <w:color w:val="1D2733"/>
                <w:sz w:val="17"/>
              </w:rPr>
              <w:t>Product, technology, service, security/privacy and commercial approval</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7"/>
              </w:rPr>
              <w:t>Security</w:t>
            </w:r>
          </w:p>
        </w:tc>
        <w:tc>
          <w:tcPr>
            <w:tcW w:type="dxa" w:w="4540"/>
            <w:vAlign w:val="center"/>
            <w:tcMar>
              <w:top w:w="80" w:type="dxa"/>
              <w:start w:w="120" w:type="dxa"/>
              <w:bottom w:w="80" w:type="dxa"/>
              <w:end w:w="120" w:type="dxa"/>
            </w:tcMar>
          </w:tcPr>
          <w:p>
            <w:pPr>
              <w:spacing w:before="0" w:after="20" w:line="252" w:lineRule="auto"/>
              <w:jc w:val="left"/>
            </w:pPr>
            <w:r>
              <w:rPr>
                <w:color w:val="1D2733"/>
                <w:sz w:val="17"/>
              </w:rPr>
              <w:t>Vulnerability remediation or hardening</w:t>
            </w:r>
          </w:p>
        </w:tc>
        <w:tc>
          <w:tcPr>
            <w:tcW w:type="dxa" w:w="3320"/>
            <w:vAlign w:val="center"/>
            <w:tcMar>
              <w:top w:w="80" w:type="dxa"/>
              <w:start w:w="120" w:type="dxa"/>
              <w:bottom w:w="80" w:type="dxa"/>
              <w:end w:w="120" w:type="dxa"/>
            </w:tcMar>
          </w:tcPr>
          <w:p>
            <w:pPr>
              <w:spacing w:before="0" w:after="20" w:line="252" w:lineRule="auto"/>
              <w:jc w:val="left"/>
            </w:pPr>
            <w:r>
              <w:rPr>
                <w:color w:val="1D2733"/>
                <w:sz w:val="17"/>
              </w:rPr>
              <w:t>Security and technical owner; disclosure/communications as required</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7"/>
              </w:rPr>
              <w:t>Emergency</w:t>
            </w:r>
          </w:p>
        </w:tc>
        <w:tc>
          <w:tcPr>
            <w:tcW w:type="dxa" w:w="4540"/>
            <w:vAlign w:val="center"/>
            <w:shd w:fill="FAFBFC"/>
            <w:tcMar>
              <w:top w:w="80" w:type="dxa"/>
              <w:start w:w="120" w:type="dxa"/>
              <w:bottom w:w="80" w:type="dxa"/>
              <w:end w:w="120" w:type="dxa"/>
            </w:tcMar>
          </w:tcPr>
          <w:p>
            <w:pPr>
              <w:spacing w:before="0" w:after="20" w:line="252" w:lineRule="auto"/>
              <w:jc w:val="left"/>
            </w:pPr>
            <w:r>
              <w:rPr>
                <w:color w:val="1D2733"/>
                <w:sz w:val="17"/>
              </w:rPr>
              <w:t>Critical incident restoration or actively exploited risk</w:t>
            </w:r>
          </w:p>
        </w:tc>
        <w:tc>
          <w:tcPr>
            <w:tcW w:type="dxa" w:w="3320"/>
            <w:vAlign w:val="center"/>
            <w:shd w:fill="FAFBFC"/>
            <w:tcMar>
              <w:top w:w="80" w:type="dxa"/>
              <w:start w:w="120" w:type="dxa"/>
              <w:bottom w:w="80" w:type="dxa"/>
              <w:end w:w="120" w:type="dxa"/>
            </w:tcMar>
          </w:tcPr>
          <w:p>
            <w:pPr>
              <w:spacing w:before="0" w:after="20" w:line="252" w:lineRule="auto"/>
              <w:jc w:val="left"/>
            </w:pPr>
            <w:r>
              <w:rPr>
                <w:color w:val="1D2733"/>
                <w:sz w:val="17"/>
              </w:rPr>
              <w:t>Designated incident/change authority with minimum safe test and rollback</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7"/>
              </w:rPr>
              <w:t>Infrastructure</w:t>
            </w:r>
          </w:p>
        </w:tc>
        <w:tc>
          <w:tcPr>
            <w:tcW w:type="dxa" w:w="4540"/>
            <w:vAlign w:val="center"/>
            <w:tcMar>
              <w:top w:w="80" w:type="dxa"/>
              <w:start w:w="120" w:type="dxa"/>
              <w:bottom w:w="80" w:type="dxa"/>
              <w:end w:w="120" w:type="dxa"/>
            </w:tcMar>
          </w:tcPr>
          <w:p>
            <w:pPr>
              <w:spacing w:before="0" w:after="20" w:line="252" w:lineRule="auto"/>
              <w:jc w:val="left"/>
            </w:pPr>
            <w:r>
              <w:rPr>
                <w:color w:val="1D2733"/>
                <w:sz w:val="17"/>
              </w:rPr>
              <w:t>Hosting, network, runtime, database or provider change</w:t>
            </w:r>
          </w:p>
        </w:tc>
        <w:tc>
          <w:tcPr>
            <w:tcW w:type="dxa" w:w="3320"/>
            <w:vAlign w:val="center"/>
            <w:tcMar>
              <w:top w:w="80" w:type="dxa"/>
              <w:start w:w="120" w:type="dxa"/>
              <w:bottom w:w="80" w:type="dxa"/>
              <w:end w:w="120" w:type="dxa"/>
            </w:tcMar>
          </w:tcPr>
          <w:p>
            <w:pPr>
              <w:spacing w:before="0" w:after="20" w:line="252" w:lineRule="auto"/>
              <w:jc w:val="left"/>
            </w:pPr>
            <w:r>
              <w:rPr>
                <w:color w:val="1D2733"/>
                <w:sz w:val="17"/>
              </w:rPr>
              <w:t>Technology/service owner; migration, capacity and recovery evidence</w:t>
            </w:r>
          </w:p>
        </w:tc>
      </w:tr>
    </w:tbl>
    <w:p>
      <w:pPr>
        <w:pStyle w:val="Heading2"/>
      </w:pPr>
      <w:r>
        <w:t>Release record</w:t>
      </w:r>
    </w:p>
    <w:p>
      <w:pPr>
        <w:pStyle w:val="ListBullet"/>
        <w:keepLines/>
      </w:pPr>
      <w:r>
        <w:t>Product/service, version, date/time, environment, artefact identifier and commit/tag.</w:t>
      </w:r>
    </w:p>
    <w:p>
      <w:pPr>
        <w:pStyle w:val="ListBullet"/>
        <w:keepLines/>
      </w:pPr>
      <w:r>
        <w:t>Scope, work items, user impact, known limitations, data migration and compatibility.</w:t>
      </w:r>
    </w:p>
    <w:p>
      <w:pPr>
        <w:pStyle w:val="ListBullet"/>
        <w:keepLines/>
      </w:pPr>
      <w:r>
        <w:t>Test/security evidence, approvers, backup reference, deployment and rollback steps.</w:t>
      </w:r>
    </w:p>
    <w:p>
      <w:pPr>
        <w:pStyle w:val="ListBullet"/>
        <w:keepLines/>
      </w:pPr>
      <w:r>
        <w:t>Monitoring window, smoke-test result, incidents/rollback and final release status.</w:t>
      </w:r>
    </w:p>
    <w:p>
      <w:pPr>
        <w:pStyle w:val="ListBullet"/>
        <w:keepLines/>
      </w:pPr>
      <w:r>
        <w:t>Customer/support communications, documentation and post-release review date.</w:t>
      </w:r>
    </w:p>
    <w:p>
      <w:pPr>
        <w:pStyle w:val="Heading2"/>
      </w:pPr>
      <w:r>
        <w:t>Release cadence</w:t>
      </w:r>
    </w:p>
    <w:p>
      <w:r>
        <w:t>Use a predictable release train for customer-facing products, supported by continuous delivery to non-production. High-value low-risk changes may be released more frequently when automation and observability are mature. Security patches follow risk-based urgency. Cadence must never override the evidence required to deploy safely.</w:t>
      </w:r>
    </w:p>
    <w:p>
      <w:bookmarkStart w:id="15" w:name="sec15"/>
      <w:pPr>
        <w:pStyle w:val="Heading1"/>
        <w:keepNext/>
        <w:pageBreakBefore/>
      </w:pPr>
      <w:r>
        <w:t>SECTION 15 | Feature-Development Framework</w:t>
      </w:r>
      <w:bookmarkEnd w:id="15"/>
    </w:p>
    <w:p>
      <w:pPr>
        <w:pStyle w:val="LeadCallout"/>
        <w:shd w:fill="F4F6F9"/>
        <w:pBdr>
          <w:left w:val="single" w:sz="18" w:space="8" w:color="C99A2E"/>
        </w:pBdr>
      </w:pPr>
      <w:r>
        <w:rPr>
          <w:b/>
          <w:color w:val="102A43"/>
        </w:rPr>
        <w:t xml:space="preserve">Feature rule: </w:t>
      </w:r>
      <w:r>
        <w:t>A feature is an investment hypothesis: a specific change for a defined user is expected to improve a measurable outcome. Shipping is not proof; observed use and benefit are proof.</w:t>
      </w:r>
    </w:p>
    <w:p>
      <w:pPr>
        <w:pStyle w:val="Heading2"/>
      </w:pPr>
      <w:r>
        <w:t>Feature flow</w:t>
      </w:r>
    </w:p>
    <w:p>
      <w:pPr>
        <w:pStyle w:val="ListNumber"/>
        <w:keepLines/>
        <w:numPr>
          <w:ilvl w:val="0"/>
          <w:numId w:val="17"/>
        </w:numPr>
      </w:pPr>
      <w:r>
        <w:rPr>
          <w:b/>
        </w:rPr>
        <w:t xml:space="preserve">Capture: </w:t>
      </w:r>
      <w:r>
        <w:t>Record the problem, affected users, evidence, urgency, requester and strategic link.</w:t>
      </w:r>
    </w:p>
    <w:p>
      <w:pPr>
        <w:pStyle w:val="ListNumber"/>
        <w:keepLines/>
        <w:numPr>
          <w:ilvl w:val="0"/>
          <w:numId w:val="17"/>
        </w:numPr>
      </w:pPr>
      <w:r>
        <w:rPr>
          <w:b/>
        </w:rPr>
        <w:t xml:space="preserve">Discover: </w:t>
      </w:r>
      <w:r>
        <w:t>Observe workflows, alternatives and constraints; establish baseline and outcome metric.</w:t>
      </w:r>
    </w:p>
    <w:p>
      <w:pPr>
        <w:pStyle w:val="ListNumber"/>
        <w:keepLines/>
        <w:numPr>
          <w:ilvl w:val="0"/>
          <w:numId w:val="17"/>
        </w:numPr>
      </w:pPr>
      <w:r>
        <w:rPr>
          <w:b/>
        </w:rPr>
        <w:t xml:space="preserve">Decide: </w:t>
      </w:r>
      <w:r>
        <w:t>Prioritise against value, reach, risk reduction, effort, dependency, strategic reuse and opportunity cost.</w:t>
      </w:r>
    </w:p>
    <w:p>
      <w:pPr>
        <w:pStyle w:val="ListNumber"/>
        <w:keepLines/>
        <w:numPr>
          <w:ilvl w:val="0"/>
          <w:numId w:val="17"/>
        </w:numPr>
      </w:pPr>
      <w:r>
        <w:rPr>
          <w:b/>
        </w:rPr>
        <w:t xml:space="preserve">Specify: </w:t>
      </w:r>
      <w:r>
        <w:t>Define scope/non-goals, journeys, acceptance, analytics, security/privacy, support and migration.</w:t>
      </w:r>
    </w:p>
    <w:p>
      <w:pPr>
        <w:pStyle w:val="ListNumber"/>
        <w:keepLines/>
        <w:numPr>
          <w:ilvl w:val="0"/>
          <w:numId w:val="17"/>
        </w:numPr>
      </w:pPr>
      <w:r>
        <w:rPr>
          <w:b/>
        </w:rPr>
        <w:t xml:space="preserve">Design and validate: </w:t>
      </w:r>
      <w:r>
        <w:t>Prototype the riskiest assumption with users and technical/control reviewers.</w:t>
      </w:r>
    </w:p>
    <w:p>
      <w:pPr>
        <w:pStyle w:val="ListNumber"/>
        <w:keepLines/>
        <w:numPr>
          <w:ilvl w:val="0"/>
          <w:numId w:val="17"/>
        </w:numPr>
      </w:pPr>
      <w:r>
        <w:rPr>
          <w:b/>
        </w:rPr>
        <w:t xml:space="preserve">Build and verify: </w:t>
      </w:r>
      <w:r>
        <w:t>Deliver a thin vertical slice, test, document and instrument it.</w:t>
      </w:r>
    </w:p>
    <w:p>
      <w:pPr>
        <w:pStyle w:val="ListNumber"/>
        <w:keepLines/>
        <w:numPr>
          <w:ilvl w:val="0"/>
          <w:numId w:val="17"/>
        </w:numPr>
      </w:pPr>
      <w:r>
        <w:rPr>
          <w:b/>
        </w:rPr>
        <w:t xml:space="preserve">Release and learn: </w:t>
      </w:r>
      <w:r>
        <w:t>Roll out progressively, measure outcome and decide to expand, change or remove.</w:t>
      </w:r>
    </w:p>
    <w:p>
      <w:pPr>
        <w:pStyle w:val="Heading2"/>
      </w:pPr>
      <w:r>
        <w:t>Feature brief</w:t>
      </w:r>
    </w:p>
    <w:p>
      <w:pPr>
        <w:pStyle w:val="Caption"/>
      </w:pPr>
      <w:r>
        <w:t>Table 26. Minimum feature brief fields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000"/>
        <w:gridCol w:w="7360"/>
      </w:tblGrid>
      <w:tr>
        <w:trPr>
          <w:tblHeader w:val="true"/>
          <w:cantSplit/>
        </w:trPr>
        <w:tc>
          <w:tcPr>
            <w:tcW w:type="dxa" w:w="2000"/>
            <w:vAlign w:val="center"/>
            <w:shd w:fill="F2F4F7"/>
            <w:tcMar>
              <w:top w:w="80" w:type="dxa"/>
              <w:start w:w="120" w:type="dxa"/>
              <w:bottom w:w="80" w:type="dxa"/>
              <w:end w:w="120" w:type="dxa"/>
            </w:tcMar>
          </w:tcPr>
          <w:p>
            <w:pPr>
              <w:spacing w:before="0" w:after="0"/>
              <w:jc w:val="center"/>
            </w:pPr>
            <w:r>
              <w:rPr>
                <w:b/>
                <w:color w:val="102A43"/>
                <w:sz w:val="18"/>
              </w:rPr>
              <w:t>Field</w:t>
            </w:r>
          </w:p>
        </w:tc>
        <w:tc>
          <w:tcPr>
            <w:tcW w:type="dxa" w:w="7360"/>
            <w:vAlign w:val="center"/>
            <w:shd w:fill="F2F4F7"/>
            <w:tcMar>
              <w:top w:w="80" w:type="dxa"/>
              <w:start w:w="120" w:type="dxa"/>
              <w:bottom w:w="80" w:type="dxa"/>
              <w:end w:w="120" w:type="dxa"/>
            </w:tcMar>
          </w:tcPr>
          <w:p>
            <w:pPr>
              <w:spacing w:before="0" w:after="0"/>
              <w:jc w:val="left"/>
            </w:pPr>
            <w:r>
              <w:rPr>
                <w:b/>
                <w:color w:val="102A43"/>
                <w:sz w:val="18"/>
              </w:rPr>
              <w:t>Required question</w:t>
            </w:r>
          </w:p>
        </w:tc>
      </w:tr>
      <w:tr>
        <w:trPr>
          <w:cantSplit/>
        </w:trPr>
        <w:tc>
          <w:tcPr>
            <w:tcW w:type="dxa" w:w="2000"/>
            <w:vAlign w:val="center"/>
            <w:tcMar>
              <w:top w:w="80" w:type="dxa"/>
              <w:start w:w="120" w:type="dxa"/>
              <w:bottom w:w="80" w:type="dxa"/>
              <w:end w:w="120" w:type="dxa"/>
            </w:tcMar>
          </w:tcPr>
          <w:p>
            <w:pPr>
              <w:spacing w:before="0" w:after="20" w:line="252" w:lineRule="auto"/>
              <w:jc w:val="left"/>
            </w:pPr>
            <w:r>
              <w:rPr>
                <w:color w:val="1D2733"/>
                <w:sz w:val="17"/>
              </w:rPr>
              <w:t>Problem and user</w:t>
            </w:r>
          </w:p>
        </w:tc>
        <w:tc>
          <w:tcPr>
            <w:tcW w:type="dxa" w:w="7360"/>
            <w:vAlign w:val="center"/>
            <w:tcMar>
              <w:top w:w="80" w:type="dxa"/>
              <w:start w:w="120" w:type="dxa"/>
              <w:bottom w:w="80" w:type="dxa"/>
              <w:end w:w="120" w:type="dxa"/>
            </w:tcMar>
          </w:tcPr>
          <w:p>
            <w:pPr>
              <w:spacing w:before="0" w:after="20" w:line="252" w:lineRule="auto"/>
              <w:jc w:val="left"/>
            </w:pPr>
            <w:r>
              <w:rPr>
                <w:color w:val="1D2733"/>
                <w:sz w:val="17"/>
              </w:rPr>
              <w:t>Who experiences what problem, and what evidence supports it?</w:t>
            </w:r>
          </w:p>
        </w:tc>
      </w:tr>
      <w:tr>
        <w:trPr>
          <w:cantSplit/>
        </w:trPr>
        <w:tc>
          <w:tcPr>
            <w:tcW w:type="dxa" w:w="2000"/>
            <w:vAlign w:val="center"/>
            <w:shd w:fill="FAFBFC"/>
            <w:tcMar>
              <w:top w:w="80" w:type="dxa"/>
              <w:start w:w="120" w:type="dxa"/>
              <w:bottom w:w="80" w:type="dxa"/>
              <w:end w:w="120" w:type="dxa"/>
            </w:tcMar>
          </w:tcPr>
          <w:p>
            <w:pPr>
              <w:spacing w:before="0" w:after="20" w:line="252" w:lineRule="auto"/>
              <w:jc w:val="left"/>
            </w:pPr>
            <w:r>
              <w:rPr>
                <w:color w:val="1D2733"/>
                <w:sz w:val="17"/>
              </w:rPr>
              <w:t>Outcome</w:t>
            </w:r>
          </w:p>
        </w:tc>
        <w:tc>
          <w:tcPr>
            <w:tcW w:type="dxa" w:w="7360"/>
            <w:vAlign w:val="center"/>
            <w:shd w:fill="FAFBFC"/>
            <w:tcMar>
              <w:top w:w="80" w:type="dxa"/>
              <w:start w:w="120" w:type="dxa"/>
              <w:bottom w:w="80" w:type="dxa"/>
              <w:end w:w="120" w:type="dxa"/>
            </w:tcMar>
          </w:tcPr>
          <w:p>
            <w:pPr>
              <w:spacing w:before="0" w:after="20" w:line="252" w:lineRule="auto"/>
              <w:jc w:val="left"/>
            </w:pPr>
            <w:r>
              <w:rPr>
                <w:color w:val="1D2733"/>
                <w:sz w:val="17"/>
              </w:rPr>
              <w:t>Which behaviour/business measure should change, from what baseline?</w:t>
            </w:r>
          </w:p>
        </w:tc>
      </w:tr>
      <w:tr>
        <w:trPr>
          <w:cantSplit/>
        </w:trPr>
        <w:tc>
          <w:tcPr>
            <w:tcW w:type="dxa" w:w="2000"/>
            <w:vAlign w:val="center"/>
            <w:tcMar>
              <w:top w:w="80" w:type="dxa"/>
              <w:start w:w="120" w:type="dxa"/>
              <w:bottom w:w="80" w:type="dxa"/>
              <w:end w:w="120" w:type="dxa"/>
            </w:tcMar>
          </w:tcPr>
          <w:p>
            <w:pPr>
              <w:spacing w:before="0" w:after="20" w:line="252" w:lineRule="auto"/>
              <w:jc w:val="left"/>
            </w:pPr>
            <w:r>
              <w:rPr>
                <w:color w:val="1D2733"/>
                <w:sz w:val="17"/>
              </w:rPr>
              <w:t>Scope</w:t>
            </w:r>
          </w:p>
        </w:tc>
        <w:tc>
          <w:tcPr>
            <w:tcW w:type="dxa" w:w="7360"/>
            <w:vAlign w:val="center"/>
            <w:tcMar>
              <w:top w:w="80" w:type="dxa"/>
              <w:start w:w="120" w:type="dxa"/>
              <w:bottom w:w="80" w:type="dxa"/>
              <w:end w:w="120" w:type="dxa"/>
            </w:tcMar>
          </w:tcPr>
          <w:p>
            <w:pPr>
              <w:spacing w:before="0" w:after="20" w:line="252" w:lineRule="auto"/>
              <w:jc w:val="left"/>
            </w:pPr>
            <w:r>
              <w:rPr>
                <w:color w:val="1D2733"/>
                <w:sz w:val="17"/>
              </w:rPr>
              <w:t>What is included, explicitly excluded and deferred?</w:t>
            </w:r>
          </w:p>
        </w:tc>
      </w:tr>
      <w:tr>
        <w:trPr>
          <w:cantSplit/>
        </w:trPr>
        <w:tc>
          <w:tcPr>
            <w:tcW w:type="dxa" w:w="2000"/>
            <w:vAlign w:val="center"/>
            <w:shd w:fill="FAFBFC"/>
            <w:tcMar>
              <w:top w:w="80" w:type="dxa"/>
              <w:start w:w="120" w:type="dxa"/>
              <w:bottom w:w="80" w:type="dxa"/>
              <w:end w:w="120" w:type="dxa"/>
            </w:tcMar>
          </w:tcPr>
          <w:p>
            <w:pPr>
              <w:spacing w:before="0" w:after="20" w:line="252" w:lineRule="auto"/>
              <w:jc w:val="left"/>
            </w:pPr>
            <w:r>
              <w:rPr>
                <w:color w:val="1D2733"/>
                <w:sz w:val="17"/>
              </w:rPr>
              <w:t>Acceptance</w:t>
            </w:r>
          </w:p>
        </w:tc>
        <w:tc>
          <w:tcPr>
            <w:tcW w:type="dxa" w:w="7360"/>
            <w:vAlign w:val="center"/>
            <w:shd w:fill="FAFBFC"/>
            <w:tcMar>
              <w:top w:w="80" w:type="dxa"/>
              <w:start w:w="120" w:type="dxa"/>
              <w:bottom w:w="80" w:type="dxa"/>
              <w:end w:w="120" w:type="dxa"/>
            </w:tcMar>
          </w:tcPr>
          <w:p>
            <w:pPr>
              <w:spacing w:before="0" w:after="20" w:line="252" w:lineRule="auto"/>
              <w:jc w:val="left"/>
            </w:pPr>
            <w:r>
              <w:rPr>
                <w:color w:val="1D2733"/>
                <w:sz w:val="17"/>
              </w:rPr>
              <w:t>How will users, QA and operations know the feature works?</w:t>
            </w:r>
          </w:p>
        </w:tc>
      </w:tr>
      <w:tr>
        <w:trPr>
          <w:cantSplit/>
        </w:trPr>
        <w:tc>
          <w:tcPr>
            <w:tcW w:type="dxa" w:w="2000"/>
            <w:vAlign w:val="center"/>
            <w:tcMar>
              <w:top w:w="80" w:type="dxa"/>
              <w:start w:w="120" w:type="dxa"/>
              <w:bottom w:w="80" w:type="dxa"/>
              <w:end w:w="120" w:type="dxa"/>
            </w:tcMar>
          </w:tcPr>
          <w:p>
            <w:pPr>
              <w:spacing w:before="0" w:after="20" w:line="252" w:lineRule="auto"/>
              <w:jc w:val="left"/>
            </w:pPr>
            <w:r>
              <w:rPr>
                <w:color w:val="1D2733"/>
                <w:sz w:val="17"/>
              </w:rPr>
              <w:t>Data/AI</w:t>
            </w:r>
          </w:p>
        </w:tc>
        <w:tc>
          <w:tcPr>
            <w:tcW w:type="dxa" w:w="7360"/>
            <w:vAlign w:val="center"/>
            <w:tcMar>
              <w:top w:w="80" w:type="dxa"/>
              <w:start w:w="120" w:type="dxa"/>
              <w:bottom w:w="80" w:type="dxa"/>
              <w:end w:w="120" w:type="dxa"/>
            </w:tcMar>
          </w:tcPr>
          <w:p>
            <w:pPr>
              <w:spacing w:before="0" w:after="20" w:line="252" w:lineRule="auto"/>
              <w:jc w:val="left"/>
            </w:pPr>
            <w:r>
              <w:rPr>
                <w:color w:val="1D2733"/>
                <w:sz w:val="17"/>
              </w:rPr>
              <w:t>What data, model, prompt, knowledge, tool, retention and evaluation changes occur?</w:t>
            </w:r>
          </w:p>
        </w:tc>
      </w:tr>
      <w:tr>
        <w:trPr>
          <w:cantSplit/>
        </w:trPr>
        <w:tc>
          <w:tcPr>
            <w:tcW w:type="dxa" w:w="2000"/>
            <w:vAlign w:val="center"/>
            <w:shd w:fill="FAFBFC"/>
            <w:tcMar>
              <w:top w:w="80" w:type="dxa"/>
              <w:start w:w="120" w:type="dxa"/>
              <w:bottom w:w="80" w:type="dxa"/>
              <w:end w:w="120" w:type="dxa"/>
            </w:tcMar>
          </w:tcPr>
          <w:p>
            <w:pPr>
              <w:spacing w:before="0" w:after="20" w:line="252" w:lineRule="auto"/>
              <w:jc w:val="left"/>
            </w:pPr>
            <w:r>
              <w:rPr>
                <w:color w:val="1D2733"/>
                <w:sz w:val="17"/>
              </w:rPr>
              <w:t>Trust</w:t>
            </w:r>
          </w:p>
        </w:tc>
        <w:tc>
          <w:tcPr>
            <w:tcW w:type="dxa" w:w="7360"/>
            <w:vAlign w:val="center"/>
            <w:shd w:fill="FAFBFC"/>
            <w:tcMar>
              <w:top w:w="80" w:type="dxa"/>
              <w:start w:w="120" w:type="dxa"/>
              <w:bottom w:w="80" w:type="dxa"/>
              <w:end w:w="120" w:type="dxa"/>
            </w:tcMar>
          </w:tcPr>
          <w:p>
            <w:pPr>
              <w:spacing w:before="0" w:after="20" w:line="252" w:lineRule="auto"/>
              <w:jc w:val="left"/>
            </w:pPr>
            <w:r>
              <w:rPr>
                <w:color w:val="1D2733"/>
                <w:sz w:val="17"/>
              </w:rPr>
              <w:t>What threat, privacy, legal, accessibility, safety or fraud impacts must be controlled?</w:t>
            </w:r>
          </w:p>
        </w:tc>
      </w:tr>
      <w:tr>
        <w:trPr>
          <w:cantSplit/>
        </w:trPr>
        <w:tc>
          <w:tcPr>
            <w:tcW w:type="dxa" w:w="2000"/>
            <w:vAlign w:val="center"/>
            <w:tcMar>
              <w:top w:w="80" w:type="dxa"/>
              <w:start w:w="120" w:type="dxa"/>
              <w:bottom w:w="80" w:type="dxa"/>
              <w:end w:w="120" w:type="dxa"/>
            </w:tcMar>
          </w:tcPr>
          <w:p>
            <w:pPr>
              <w:spacing w:before="0" w:after="20" w:line="252" w:lineRule="auto"/>
              <w:jc w:val="left"/>
            </w:pPr>
            <w:r>
              <w:rPr>
                <w:color w:val="1D2733"/>
                <w:sz w:val="17"/>
              </w:rPr>
              <w:t>Operations</w:t>
            </w:r>
          </w:p>
        </w:tc>
        <w:tc>
          <w:tcPr>
            <w:tcW w:type="dxa" w:w="7360"/>
            <w:vAlign w:val="center"/>
            <w:tcMar>
              <w:top w:w="80" w:type="dxa"/>
              <w:start w:w="120" w:type="dxa"/>
              <w:bottom w:w="80" w:type="dxa"/>
              <w:end w:w="120" w:type="dxa"/>
            </w:tcMar>
          </w:tcPr>
          <w:p>
            <w:pPr>
              <w:spacing w:before="0" w:after="20" w:line="252" w:lineRule="auto"/>
              <w:jc w:val="left"/>
            </w:pPr>
            <w:r>
              <w:rPr>
                <w:color w:val="1D2733"/>
                <w:sz w:val="17"/>
              </w:rPr>
              <w:t>How is it monitored, supported, recovered, rolled back and eventually retired?</w:t>
            </w:r>
          </w:p>
        </w:tc>
      </w:tr>
      <w:tr>
        <w:trPr>
          <w:cantSplit/>
        </w:trPr>
        <w:tc>
          <w:tcPr>
            <w:tcW w:type="dxa" w:w="2000"/>
            <w:vAlign w:val="center"/>
            <w:shd w:fill="FAFBFC"/>
            <w:tcMar>
              <w:top w:w="80" w:type="dxa"/>
              <w:start w:w="120" w:type="dxa"/>
              <w:bottom w:w="80" w:type="dxa"/>
              <w:end w:w="120" w:type="dxa"/>
            </w:tcMar>
          </w:tcPr>
          <w:p>
            <w:pPr>
              <w:spacing w:before="0" w:after="20" w:line="252" w:lineRule="auto"/>
              <w:jc w:val="left"/>
            </w:pPr>
            <w:r>
              <w:rPr>
                <w:color w:val="1D2733"/>
                <w:sz w:val="17"/>
              </w:rPr>
              <w:t>Commercial</w:t>
            </w:r>
          </w:p>
        </w:tc>
        <w:tc>
          <w:tcPr>
            <w:tcW w:type="dxa" w:w="7360"/>
            <w:vAlign w:val="center"/>
            <w:shd w:fill="FAFBFC"/>
            <w:tcMar>
              <w:top w:w="80" w:type="dxa"/>
              <w:start w:w="120" w:type="dxa"/>
              <w:bottom w:w="80" w:type="dxa"/>
              <w:end w:w="120" w:type="dxa"/>
            </w:tcMar>
          </w:tcPr>
          <w:p>
            <w:pPr>
              <w:spacing w:before="0" w:after="20" w:line="252" w:lineRule="auto"/>
              <w:jc w:val="left"/>
            </w:pPr>
            <w:r>
              <w:rPr>
                <w:color w:val="1D2733"/>
                <w:sz w:val="17"/>
              </w:rPr>
              <w:t>Does packaging, price, entitlement, contract, training or support change?</w:t>
            </w:r>
          </w:p>
        </w:tc>
      </w:tr>
    </w:tbl>
    <w:p>
      <w:pPr>
        <w:pStyle w:val="Heading2"/>
      </w:pPr>
      <w:r>
        <w:t>Prioritisation guardrails</w:t>
      </w:r>
    </w:p>
    <w:p>
      <w:pPr>
        <w:pStyle w:val="ListBullet"/>
        <w:keepLines/>
      </w:pPr>
      <w:r>
        <w:t>Protect mandatory security, privacy, legal, resilience and severe-defect work from feature crowding.</w:t>
      </w:r>
    </w:p>
    <w:p>
      <w:pPr>
        <w:pStyle w:val="ListBullet"/>
        <w:keepLines/>
      </w:pPr>
      <w:r>
        <w:t>Prefer shared platform capabilities when two or more validated products need the same function.</w:t>
      </w:r>
    </w:p>
    <w:p>
      <w:pPr>
        <w:pStyle w:val="ListBullet"/>
        <w:keepLines/>
      </w:pPr>
      <w:r>
        <w:t>Do not build a bespoke client request into the core product until reuse, configuration and lifecycle ownership are understood.</w:t>
      </w:r>
    </w:p>
    <w:p>
      <w:pPr>
        <w:pStyle w:val="ListBullet"/>
        <w:keepLines/>
      </w:pPr>
      <w:r>
        <w:t>Include total lifecycle cost: design, implementation, infrastructure, support, documentation, compliance, migration and retirement.</w:t>
      </w:r>
    </w:p>
    <w:p>
      <w:pPr>
        <w:pStyle w:val="ListBullet"/>
        <w:keepLines/>
      </w:pPr>
      <w:r>
        <w:t>Limit work in progress; finishing, measuring and learning has priority over starting more initiatives.</w:t>
      </w:r>
    </w:p>
    <w:p>
      <w:bookmarkStart w:id="16" w:name="sec16"/>
      <w:pPr>
        <w:pStyle w:val="Heading1"/>
        <w:keepNext/>
        <w:pageBreakBefore/>
      </w:pPr>
      <w:r>
        <w:t>SECTION 16 | Feature Updates and Upgrades</w:t>
      </w:r>
      <w:bookmarkEnd w:id="16"/>
    </w:p>
    <w:p>
      <w:pPr>
        <w:pStyle w:val="LeadCallout"/>
        <w:shd w:fill="F4F6F9"/>
        <w:pBdr>
          <w:left w:val="single" w:sz="18" w:space="8" w:color="C99A2E"/>
        </w:pBdr>
      </w:pPr>
      <w:r>
        <w:rPr>
          <w:b/>
          <w:color w:val="102A43"/>
        </w:rPr>
        <w:t xml:space="preserve">Upgrade principle: </w:t>
      </w:r>
      <w:r>
        <w:t>Every supported product has a maintained path from its current version to a supported future version, including data, configuration, integrations, users, documentation and rollback.</w:t>
      </w:r>
    </w:p>
    <w:p>
      <w:pPr>
        <w:pStyle w:val="Heading2"/>
      </w:pPr>
      <w:r>
        <w:t>Upgrade programme</w:t>
      </w:r>
    </w:p>
    <w:p>
      <w:pPr>
        <w:pStyle w:val="ListBullet"/>
        <w:keepLines/>
      </w:pPr>
      <w:r>
        <w:rPr>
          <w:b/>
        </w:rPr>
        <w:t xml:space="preserve">Inventory: </w:t>
      </w:r>
      <w:r>
        <w:t>Maintain runtimes, frameworks, packages, models, prompts, APIs, operating systems, devices and vendor end-of-support dates.</w:t>
      </w:r>
    </w:p>
    <w:p>
      <w:pPr>
        <w:pStyle w:val="ListBullet"/>
        <w:keepLines/>
      </w:pPr>
      <w:r>
        <w:rPr>
          <w:b/>
        </w:rPr>
        <w:t xml:space="preserve">Classify: </w:t>
      </w:r>
      <w:r>
        <w:t>Separate routine patching, backward-compatible upgrade, breaking change, security emergency and platform migration.</w:t>
      </w:r>
    </w:p>
    <w:p>
      <w:pPr>
        <w:pStyle w:val="ListBullet"/>
        <w:keepLines/>
      </w:pPr>
      <w:r>
        <w:rPr>
          <w:b/>
        </w:rPr>
        <w:t xml:space="preserve">Test: </w:t>
      </w:r>
      <w:r>
        <w:t>Use compatibility matrices, automated regression, representative data, load, integration, migration and recovery tests.</w:t>
      </w:r>
    </w:p>
    <w:p>
      <w:pPr>
        <w:pStyle w:val="ListBullet"/>
        <w:keepLines/>
      </w:pPr>
      <w:r>
        <w:rPr>
          <w:b/>
        </w:rPr>
        <w:t xml:space="preserve">Communicate: </w:t>
      </w:r>
      <w:r>
        <w:t>Publish impact, action, timing, support window, deprecation and rollback information appropriate to clients and staff.</w:t>
      </w:r>
    </w:p>
    <w:p>
      <w:pPr>
        <w:pStyle w:val="ListBullet"/>
        <w:keepLines/>
      </w:pPr>
      <w:r>
        <w:rPr>
          <w:b/>
        </w:rPr>
        <w:t xml:space="preserve">Roll out: </w:t>
      </w:r>
      <w:r>
        <w:t>Use pilot tenants, feature flags, canary/percentage rollout or maintenance windows according to risk and platform capability.</w:t>
      </w:r>
    </w:p>
    <w:p>
      <w:pPr>
        <w:pStyle w:val="ListBullet"/>
        <w:keepLines/>
      </w:pPr>
      <w:r>
        <w:rPr>
          <w:b/>
        </w:rPr>
        <w:t xml:space="preserve">Review: </w:t>
      </w:r>
      <w:r>
        <w:t>Measure adoption, errors, support demand, performance, cost and intended benefit; remove obsolete paths.</w:t>
      </w:r>
    </w:p>
    <w:p>
      <w:pPr>
        <w:pStyle w:val="Heading2"/>
      </w:pPr>
      <w:r>
        <w:t>Dependency and provider changes</w:t>
      </w:r>
    </w:p>
    <w:p>
      <w:pPr>
        <w:pStyle w:val="Caption"/>
      </w:pPr>
      <w:r>
        <w:t>Table 27. Change impact checks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200"/>
        <w:gridCol w:w="7160"/>
      </w:tblGrid>
      <w:tr>
        <w:trPr>
          <w:tblHeader w:val="true"/>
          <w:cantSplit/>
        </w:trPr>
        <w:tc>
          <w:tcPr>
            <w:tcW w:type="dxa" w:w="2200"/>
            <w:vAlign w:val="center"/>
            <w:shd w:fill="F2F4F7"/>
            <w:tcMar>
              <w:top w:w="80" w:type="dxa"/>
              <w:start w:w="120" w:type="dxa"/>
              <w:bottom w:w="80" w:type="dxa"/>
              <w:end w:w="120" w:type="dxa"/>
            </w:tcMar>
          </w:tcPr>
          <w:p>
            <w:pPr>
              <w:spacing w:before="0" w:after="0"/>
              <w:jc w:val="center"/>
            </w:pPr>
            <w:r>
              <w:rPr>
                <w:b/>
                <w:color w:val="102A43"/>
                <w:sz w:val="18"/>
              </w:rPr>
              <w:t>Change</w:t>
            </w:r>
          </w:p>
        </w:tc>
        <w:tc>
          <w:tcPr>
            <w:tcW w:type="dxa" w:w="7160"/>
            <w:vAlign w:val="center"/>
            <w:shd w:fill="F2F4F7"/>
            <w:tcMar>
              <w:top w:w="80" w:type="dxa"/>
              <w:start w:w="120" w:type="dxa"/>
              <w:bottom w:w="80" w:type="dxa"/>
              <w:end w:w="120" w:type="dxa"/>
            </w:tcMar>
          </w:tcPr>
          <w:p>
            <w:pPr>
              <w:spacing w:before="0" w:after="0"/>
              <w:jc w:val="center"/>
            </w:pPr>
            <w:r>
              <w:rPr>
                <w:b/>
                <w:color w:val="102A43"/>
                <w:sz w:val="18"/>
              </w:rPr>
              <w:t>Required checks</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Library/framework</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Security advisories, licence, API compatibility, build/test, performance and rollback</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Runtime/database</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Vendor support, migration tools, extensions, character/timezone behaviour, query plans and backups</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AI model/provider</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Quality/safety regression, data terms, location, retention/training, latency, cost, rate limits and fallback</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Payment/communications</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Webhook/API contracts, reconciliation, fraud, delivery, consent, failover and customer messaging</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Hardware/firmware</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Compatibility, secure update, warranty, device identity, rollback, safety and field-support plan</w:t>
            </w:r>
          </w:p>
        </w:tc>
      </w:tr>
    </w:tbl>
    <w:p>
      <w:pPr>
        <w:pStyle w:val="Heading2"/>
      </w:pPr>
      <w:r>
        <w:t>Deprecation policy</w:t>
      </w:r>
    </w:p>
    <w:p>
      <w:r>
        <w:t>Deprecation is announced through a supported release before removal whenever feasible. Notices state the affected capability, reason, replacement, migration steps, support dates and contact. Removal occurs only after telemetry and client records show an acceptable migration state or an authorised exception is recorded. Security risk may justify an accelerated timeline with executive and customer communication.</w:t>
      </w:r>
    </w:p>
    <w:p>
      <w:bookmarkStart w:id="17" w:name="sec17"/>
      <w:pPr>
        <w:pStyle w:val="Heading1"/>
        <w:keepNext/>
        <w:pageBreakBefore/>
      </w:pPr>
      <w:r>
        <w:t>SECTION 17 | New Feature Releases</w:t>
      </w:r>
      <w:bookmarkEnd w:id="17"/>
    </w:p>
    <w:p>
      <w:pPr>
        <w:pStyle w:val="LeadCallout"/>
        <w:shd w:fill="F4F6F9"/>
        <w:pBdr>
          <w:left w:val="single" w:sz="18" w:space="8" w:color="C99A2E"/>
        </w:pBdr>
      </w:pPr>
      <w:r>
        <w:rPr>
          <w:b/>
          <w:color w:val="102A43"/>
        </w:rPr>
        <w:t xml:space="preserve">Release readiness: </w:t>
      </w:r>
      <w:r>
        <w:t>A new feature is ready for general availability only when it is valuable, usable, secure, supportable, documented, measurable and commercially clear - not merely when code is complete.</w:t>
      </w:r>
    </w:p>
    <w:p>
      <w:pPr>
        <w:pStyle w:val="Caption"/>
      </w:pPr>
      <w:r>
        <w:t>Table 28. Feature release stages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700"/>
        <w:gridCol w:w="3900"/>
        <w:gridCol w:w="3760"/>
      </w:tblGrid>
      <w:tr>
        <w:trPr>
          <w:tblHeader w:val="true"/>
          <w:cantSplit/>
        </w:trPr>
        <w:tc>
          <w:tcPr>
            <w:tcW w:type="dxa" w:w="1700"/>
            <w:vAlign w:val="center"/>
            <w:shd w:fill="F2F4F7"/>
            <w:tcMar>
              <w:top w:w="80" w:type="dxa"/>
              <w:start w:w="120" w:type="dxa"/>
              <w:bottom w:w="80" w:type="dxa"/>
              <w:end w:w="120" w:type="dxa"/>
            </w:tcMar>
          </w:tcPr>
          <w:p>
            <w:pPr>
              <w:spacing w:before="0" w:after="0"/>
              <w:jc w:val="center"/>
            </w:pPr>
            <w:r>
              <w:rPr>
                <w:b/>
                <w:color w:val="102A43"/>
                <w:sz w:val="18"/>
              </w:rPr>
              <w:t>Stage</w:t>
            </w:r>
          </w:p>
        </w:tc>
        <w:tc>
          <w:tcPr>
            <w:tcW w:type="dxa" w:w="3900"/>
            <w:vAlign w:val="center"/>
            <w:shd w:fill="F2F4F7"/>
            <w:tcMar>
              <w:top w:w="80" w:type="dxa"/>
              <w:start w:w="120" w:type="dxa"/>
              <w:bottom w:w="80" w:type="dxa"/>
              <w:end w:w="120" w:type="dxa"/>
            </w:tcMar>
          </w:tcPr>
          <w:p>
            <w:pPr>
              <w:spacing w:before="0" w:after="0"/>
              <w:jc w:val="left"/>
            </w:pPr>
            <w:r>
              <w:rPr>
                <w:b/>
                <w:color w:val="102A43"/>
                <w:sz w:val="18"/>
              </w:rPr>
              <w:t>Audience and purpose</w:t>
            </w:r>
          </w:p>
        </w:tc>
        <w:tc>
          <w:tcPr>
            <w:tcW w:type="dxa" w:w="3760"/>
            <w:vAlign w:val="center"/>
            <w:shd w:fill="F2F4F7"/>
            <w:tcMar>
              <w:top w:w="80" w:type="dxa"/>
              <w:start w:w="120" w:type="dxa"/>
              <w:bottom w:w="80" w:type="dxa"/>
              <w:end w:w="120" w:type="dxa"/>
            </w:tcMar>
          </w:tcPr>
          <w:p>
            <w:pPr>
              <w:spacing w:before="0" w:after="0"/>
              <w:jc w:val="left"/>
            </w:pPr>
            <w:r>
              <w:rPr>
                <w:b/>
                <w:color w:val="102A43"/>
                <w:sz w:val="18"/>
              </w:rPr>
              <w:t>Minimum controls</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7"/>
              </w:rPr>
              <w:t>Internal alpha</w:t>
            </w:r>
          </w:p>
        </w:tc>
        <w:tc>
          <w:tcPr>
            <w:tcW w:type="dxa" w:w="3900"/>
            <w:vAlign w:val="center"/>
            <w:tcMar>
              <w:top w:w="80" w:type="dxa"/>
              <w:start w:w="120" w:type="dxa"/>
              <w:bottom w:w="80" w:type="dxa"/>
              <w:end w:w="120" w:type="dxa"/>
            </w:tcMar>
          </w:tcPr>
          <w:p>
            <w:pPr>
              <w:spacing w:before="0" w:after="20" w:line="252" w:lineRule="auto"/>
              <w:jc w:val="left"/>
            </w:pPr>
            <w:r>
              <w:rPr>
                <w:color w:val="1D2733"/>
                <w:sz w:val="17"/>
              </w:rPr>
              <w:t>Rihuum staff validate concept and operational fit</w:t>
            </w:r>
          </w:p>
        </w:tc>
        <w:tc>
          <w:tcPr>
            <w:tcW w:type="dxa" w:w="3760"/>
            <w:vAlign w:val="center"/>
            <w:tcMar>
              <w:top w:w="80" w:type="dxa"/>
              <w:start w:w="120" w:type="dxa"/>
              <w:bottom w:w="80" w:type="dxa"/>
              <w:end w:w="120" w:type="dxa"/>
            </w:tcMar>
          </w:tcPr>
          <w:p>
            <w:pPr>
              <w:spacing w:before="0" w:after="20" w:line="252" w:lineRule="auto"/>
              <w:jc w:val="left"/>
            </w:pPr>
            <w:r>
              <w:rPr>
                <w:color w:val="1D2733"/>
                <w:sz w:val="17"/>
              </w:rPr>
              <w:t>Synthetic/minimised data, explicit limitations, rapid feedback</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7"/>
              </w:rPr>
              <w:t>Private beta</w:t>
            </w:r>
          </w:p>
        </w:tc>
        <w:tc>
          <w:tcPr>
            <w:tcW w:type="dxa" w:w="3900"/>
            <w:vAlign w:val="center"/>
            <w:shd w:fill="FAFBFC"/>
            <w:tcMar>
              <w:top w:w="80" w:type="dxa"/>
              <w:start w:w="120" w:type="dxa"/>
              <w:bottom w:w="80" w:type="dxa"/>
              <w:end w:w="120" w:type="dxa"/>
            </w:tcMar>
          </w:tcPr>
          <w:p>
            <w:pPr>
              <w:spacing w:before="0" w:after="20" w:line="252" w:lineRule="auto"/>
              <w:jc w:val="left"/>
            </w:pPr>
            <w:r>
              <w:rPr>
                <w:color w:val="1D2733"/>
                <w:sz w:val="17"/>
              </w:rPr>
              <w:t>Selected customers validate outcome and integration</w:t>
            </w:r>
          </w:p>
        </w:tc>
        <w:tc>
          <w:tcPr>
            <w:tcW w:type="dxa" w:w="3760"/>
            <w:vAlign w:val="center"/>
            <w:shd w:fill="FAFBFC"/>
            <w:tcMar>
              <w:top w:w="80" w:type="dxa"/>
              <w:start w:w="120" w:type="dxa"/>
              <w:bottom w:w="80" w:type="dxa"/>
              <w:end w:w="120" w:type="dxa"/>
            </w:tcMar>
          </w:tcPr>
          <w:p>
            <w:pPr>
              <w:spacing w:before="0" w:after="20" w:line="252" w:lineRule="auto"/>
              <w:jc w:val="left"/>
            </w:pPr>
            <w:r>
              <w:rPr>
                <w:color w:val="1D2733"/>
                <w:sz w:val="17"/>
              </w:rPr>
              <w:t>Pilot terms, tenant isolation, support owner, monitoring and rollback</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7"/>
              </w:rPr>
              <w:t>Public beta</w:t>
            </w:r>
          </w:p>
        </w:tc>
        <w:tc>
          <w:tcPr>
            <w:tcW w:type="dxa" w:w="3900"/>
            <w:vAlign w:val="center"/>
            <w:tcMar>
              <w:top w:w="80" w:type="dxa"/>
              <w:start w:w="120" w:type="dxa"/>
              <w:bottom w:w="80" w:type="dxa"/>
              <w:end w:w="120" w:type="dxa"/>
            </w:tcMar>
          </w:tcPr>
          <w:p>
            <w:pPr>
              <w:spacing w:before="0" w:after="20" w:line="252" w:lineRule="auto"/>
              <w:jc w:val="left"/>
            </w:pPr>
            <w:r>
              <w:rPr>
                <w:color w:val="1D2733"/>
                <w:sz w:val="17"/>
              </w:rPr>
              <w:t>Broader learning where risk is controlled</w:t>
            </w:r>
          </w:p>
        </w:tc>
        <w:tc>
          <w:tcPr>
            <w:tcW w:type="dxa" w:w="3760"/>
            <w:vAlign w:val="center"/>
            <w:tcMar>
              <w:top w:w="80" w:type="dxa"/>
              <w:start w:w="120" w:type="dxa"/>
              <w:bottom w:w="80" w:type="dxa"/>
              <w:end w:w="120" w:type="dxa"/>
            </w:tcMar>
          </w:tcPr>
          <w:p>
            <w:pPr>
              <w:spacing w:before="0" w:after="20" w:line="252" w:lineRule="auto"/>
              <w:jc w:val="left"/>
            </w:pPr>
            <w:r>
              <w:rPr>
                <w:color w:val="1D2733"/>
                <w:sz w:val="17"/>
              </w:rPr>
              <w:t>Clear beta label, no unsupported commitments, capacity and incident plan</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7"/>
              </w:rPr>
              <w:t>General availability</w:t>
            </w:r>
          </w:p>
        </w:tc>
        <w:tc>
          <w:tcPr>
            <w:tcW w:type="dxa" w:w="3900"/>
            <w:vAlign w:val="center"/>
            <w:shd w:fill="FAFBFC"/>
            <w:tcMar>
              <w:top w:w="80" w:type="dxa"/>
              <w:start w:w="120" w:type="dxa"/>
              <w:bottom w:w="80" w:type="dxa"/>
              <w:end w:w="120" w:type="dxa"/>
            </w:tcMar>
          </w:tcPr>
          <w:p>
            <w:pPr>
              <w:spacing w:before="0" w:after="20" w:line="252" w:lineRule="auto"/>
              <w:jc w:val="left"/>
            </w:pPr>
            <w:r>
              <w:rPr>
                <w:color w:val="1D2733"/>
                <w:sz w:val="17"/>
              </w:rPr>
              <w:t>Supported production offer</w:t>
            </w:r>
          </w:p>
        </w:tc>
        <w:tc>
          <w:tcPr>
            <w:tcW w:type="dxa" w:w="3760"/>
            <w:vAlign w:val="center"/>
            <w:shd w:fill="FAFBFC"/>
            <w:tcMar>
              <w:top w:w="80" w:type="dxa"/>
              <w:start w:w="120" w:type="dxa"/>
              <w:bottom w:w="80" w:type="dxa"/>
              <w:end w:w="120" w:type="dxa"/>
            </w:tcMar>
          </w:tcPr>
          <w:p>
            <w:pPr>
              <w:spacing w:before="0" w:after="20" w:line="252" w:lineRule="auto"/>
              <w:jc w:val="left"/>
            </w:pPr>
            <w:r>
              <w:rPr>
                <w:color w:val="1D2733"/>
                <w:sz w:val="17"/>
              </w:rPr>
              <w:t>Pricing/entitlement, documentation, SLA/support, security, recovery and commercial approval</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7"/>
              </w:rPr>
              <w:t>Limited availability</w:t>
            </w:r>
          </w:p>
        </w:tc>
        <w:tc>
          <w:tcPr>
            <w:tcW w:type="dxa" w:w="3900"/>
            <w:vAlign w:val="center"/>
            <w:tcMar>
              <w:top w:w="80" w:type="dxa"/>
              <w:start w:w="120" w:type="dxa"/>
              <w:bottom w:w="80" w:type="dxa"/>
              <w:end w:w="120" w:type="dxa"/>
            </w:tcMar>
          </w:tcPr>
          <w:p>
            <w:pPr>
              <w:spacing w:before="0" w:after="20" w:line="252" w:lineRule="auto"/>
              <w:jc w:val="left"/>
            </w:pPr>
            <w:r>
              <w:rPr>
                <w:color w:val="1D2733"/>
                <w:sz w:val="17"/>
              </w:rPr>
              <w:t>Regulated, high-complexity or partner-dependent feature</w:t>
            </w:r>
          </w:p>
        </w:tc>
        <w:tc>
          <w:tcPr>
            <w:tcW w:type="dxa" w:w="3760"/>
            <w:vAlign w:val="center"/>
            <w:tcMar>
              <w:top w:w="80" w:type="dxa"/>
              <w:start w:w="120" w:type="dxa"/>
              <w:bottom w:w="80" w:type="dxa"/>
              <w:end w:w="120" w:type="dxa"/>
            </w:tcMar>
          </w:tcPr>
          <w:p>
            <w:pPr>
              <w:spacing w:before="0" w:after="20" w:line="252" w:lineRule="auto"/>
              <w:jc w:val="left"/>
            </w:pPr>
            <w:r>
              <w:rPr>
                <w:color w:val="1D2733"/>
                <w:sz w:val="17"/>
              </w:rPr>
              <w:t>Qualification criteria, solution review and controlled deployment</w:t>
            </w:r>
          </w:p>
        </w:tc>
      </w:tr>
    </w:tbl>
    <w:p>
      <w:pPr>
        <w:pStyle w:val="Heading2"/>
      </w:pPr>
      <w:r>
        <w:t>Go-to-market readiness</w:t>
      </w:r>
    </w:p>
    <w:p>
      <w:pPr>
        <w:pStyle w:val="ListBullet"/>
        <w:keepLines/>
      </w:pPr>
      <w:r>
        <w:t>One-sentence value proposition, ideal customer profile, supported use cases and explicit non-use cases.</w:t>
      </w:r>
    </w:p>
    <w:p>
      <w:pPr>
        <w:pStyle w:val="ListBullet"/>
        <w:keepLines/>
      </w:pPr>
      <w:r>
        <w:t>Packaging, entitlement, price logic, contract/SLA impact, implementation effort and margin estimate.</w:t>
      </w:r>
    </w:p>
    <w:p>
      <w:pPr>
        <w:pStyle w:val="ListBullet"/>
        <w:keepLines/>
      </w:pPr>
      <w:r>
        <w:t>Demo environment, sales enablement, onboarding, product documentation, knowledge-base articles and training.</w:t>
      </w:r>
    </w:p>
    <w:p>
      <w:pPr>
        <w:pStyle w:val="ListBullet"/>
        <w:keepLines/>
      </w:pPr>
      <w:r>
        <w:t>Support escalation, telemetry dashboard, status communications, rollback and incident contacts.</w:t>
      </w:r>
    </w:p>
    <w:p>
      <w:pPr>
        <w:pStyle w:val="ListBullet"/>
        <w:keepLines/>
      </w:pPr>
      <w:r>
        <w:t>Launch metrics for awareness, activation, adoption, outcome, support, reliability, security and commercial conversion.</w:t>
      </w:r>
    </w:p>
    <w:p>
      <w:pPr>
        <w:pStyle w:val="Heading2"/>
      </w:pPr>
      <w:r>
        <w:t>Post-release review</w:t>
      </w:r>
    </w:p>
    <w:p>
      <w:r>
        <w:t>Review at 24-72 hours for technical health, then at a period suited to the user cycle for adoption and outcome. Compare actual performance with the baseline and release hypothesis. Close the launch only after defects and documentation gaps have owners; schedule a later benefit review to decide whether to expand, redesign or retire the capability.</w:t>
      </w:r>
    </w:p>
    <w:p>
      <w:bookmarkStart w:id="18" w:name="sec18"/>
      <w:pPr>
        <w:pStyle w:val="Heading1"/>
        <w:keepNext/>
        <w:pageBreakBefore/>
      </w:pPr>
      <w:r>
        <w:t>SECTION 18 | Software Versioning</w:t>
      </w:r>
      <w:bookmarkEnd w:id="18"/>
    </w:p>
    <w:p>
      <w:pPr>
        <w:pStyle w:val="LeadCallout"/>
        <w:shd w:fill="F4F6F9"/>
        <w:pBdr>
          <w:left w:val="single" w:sz="18" w:space="8" w:color="C99A2E"/>
        </w:pBdr>
      </w:pPr>
      <w:r>
        <w:rPr>
          <w:b/>
          <w:color w:val="102A43"/>
        </w:rPr>
        <w:t xml:space="preserve">Versioning standard: </w:t>
      </w:r>
      <w:r>
        <w:t>Rihuum products and public APIs use Semantic Versioning 2.0.0 where a clear public interface exists: MAJOR for incompatible change, MINOR for backward-compatible functionality and PATCH for backward-compatible fixes.</w:t>
      </w:r>
    </w:p>
    <w:p>
      <w:pPr>
        <w:pStyle w:val="Caption"/>
      </w:pPr>
      <w:r>
        <w:t>Table 29. Version identifiers across the ecosystem</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100"/>
        <w:gridCol w:w="3000"/>
        <w:gridCol w:w="4260"/>
      </w:tblGrid>
      <w:tr>
        <w:trPr>
          <w:tblHeader w:val="true"/>
          <w:cantSplit/>
        </w:trPr>
        <w:tc>
          <w:tcPr>
            <w:tcW w:type="dxa" w:w="2100"/>
            <w:vAlign w:val="center"/>
            <w:shd w:fill="F2F4F7"/>
            <w:tcMar>
              <w:top w:w="80" w:type="dxa"/>
              <w:start w:w="120" w:type="dxa"/>
              <w:bottom w:w="80" w:type="dxa"/>
              <w:end w:w="120" w:type="dxa"/>
            </w:tcMar>
          </w:tcPr>
          <w:p>
            <w:pPr>
              <w:spacing w:before="0" w:after="0"/>
              <w:jc w:val="center"/>
            </w:pPr>
            <w:r>
              <w:rPr>
                <w:b/>
                <w:color w:val="102A43"/>
                <w:sz w:val="17"/>
              </w:rPr>
              <w:t>Asset</w:t>
            </w:r>
          </w:p>
        </w:tc>
        <w:tc>
          <w:tcPr>
            <w:tcW w:type="dxa" w:w="3000"/>
            <w:vAlign w:val="center"/>
            <w:shd w:fill="F2F4F7"/>
            <w:tcMar>
              <w:top w:w="80" w:type="dxa"/>
              <w:start w:w="120" w:type="dxa"/>
              <w:bottom w:w="80" w:type="dxa"/>
              <w:end w:w="120" w:type="dxa"/>
            </w:tcMar>
          </w:tcPr>
          <w:p>
            <w:pPr>
              <w:spacing w:before="0" w:after="0"/>
              <w:jc w:val="center"/>
            </w:pPr>
            <w:r>
              <w:rPr>
                <w:b/>
                <w:color w:val="102A43"/>
                <w:sz w:val="17"/>
              </w:rPr>
              <w:t>Version method</w:t>
            </w:r>
          </w:p>
        </w:tc>
        <w:tc>
          <w:tcPr>
            <w:tcW w:type="dxa" w:w="4260"/>
            <w:vAlign w:val="center"/>
            <w:shd w:fill="F2F4F7"/>
            <w:tcMar>
              <w:top w:w="80" w:type="dxa"/>
              <w:start w:w="120" w:type="dxa"/>
              <w:bottom w:w="80" w:type="dxa"/>
              <w:end w:w="120" w:type="dxa"/>
            </w:tcMar>
          </w:tcPr>
          <w:p>
            <w:pPr>
              <w:spacing w:before="0" w:after="0"/>
              <w:jc w:val="left"/>
            </w:pPr>
            <w:r>
              <w:rPr>
                <w:b/>
                <w:color w:val="102A43"/>
                <w:sz w:val="17"/>
              </w:rPr>
              <w:t>Example and rule</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Product/application</w:t>
            </w:r>
          </w:p>
        </w:tc>
        <w:tc>
          <w:tcPr>
            <w:tcW w:type="dxa" w:w="3000"/>
            <w:vAlign w:val="center"/>
            <w:tcMar>
              <w:top w:w="80" w:type="dxa"/>
              <w:start w:w="120" w:type="dxa"/>
              <w:bottom w:w="80" w:type="dxa"/>
              <w:end w:w="120" w:type="dxa"/>
            </w:tcMar>
          </w:tcPr>
          <w:p>
            <w:pPr>
              <w:spacing w:before="0" w:after="20" w:line="252" w:lineRule="auto"/>
              <w:jc w:val="left"/>
            </w:pPr>
            <w:r>
              <w:rPr>
                <w:color w:val="1D2733"/>
                <w:sz w:val="16"/>
              </w:rPr>
              <w:t>MAJOR.MINOR.PATCH</w:t>
            </w:r>
          </w:p>
        </w:tc>
        <w:tc>
          <w:tcPr>
            <w:tcW w:type="dxa" w:w="4260"/>
            <w:vAlign w:val="center"/>
            <w:tcMar>
              <w:top w:w="80" w:type="dxa"/>
              <w:start w:w="120" w:type="dxa"/>
              <w:bottom w:w="80" w:type="dxa"/>
              <w:end w:w="120" w:type="dxa"/>
            </w:tcMar>
          </w:tcPr>
          <w:p>
            <w:pPr>
              <w:spacing w:before="0" w:after="20" w:line="252" w:lineRule="auto"/>
              <w:jc w:val="left"/>
            </w:pPr>
            <w:r>
              <w:rPr>
                <w:color w:val="1D2733"/>
                <w:sz w:val="16"/>
              </w:rPr>
              <w:t>2.4.1; immutable release; tag may be v2.4.1</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RME Core</w:t>
            </w:r>
          </w:p>
        </w:tc>
        <w:tc>
          <w:tcPr>
            <w:tcW w:type="dxa" w:w="3000"/>
            <w:vAlign w:val="center"/>
            <w:shd w:fill="FAFBFC"/>
            <w:tcMar>
              <w:top w:w="80" w:type="dxa"/>
              <w:start w:w="120" w:type="dxa"/>
              <w:bottom w:w="80" w:type="dxa"/>
              <w:end w:w="120" w:type="dxa"/>
            </w:tcMar>
          </w:tcPr>
          <w:p>
            <w:pPr>
              <w:spacing w:before="0" w:after="20" w:line="252" w:lineRule="auto"/>
              <w:jc w:val="left"/>
            </w:pPr>
            <w:r>
              <w:rPr>
                <w:color w:val="1D2733"/>
                <w:sz w:val="16"/>
              </w:rPr>
              <w:t>MAJOR.MINOR.PATCH plus compatibility matrix</w:t>
            </w:r>
          </w:p>
        </w:tc>
        <w:tc>
          <w:tcPr>
            <w:tcW w:type="dxa" w:w="4260"/>
            <w:vAlign w:val="center"/>
            <w:shd w:fill="FAFBFC"/>
            <w:tcMar>
              <w:top w:w="80" w:type="dxa"/>
              <w:start w:w="120" w:type="dxa"/>
              <w:bottom w:w="80" w:type="dxa"/>
              <w:end w:w="120" w:type="dxa"/>
            </w:tcMar>
          </w:tcPr>
          <w:p>
            <w:pPr>
              <w:spacing w:before="0" w:after="20" w:line="252" w:lineRule="auto"/>
              <w:jc w:val="left"/>
            </w:pPr>
            <w:r>
              <w:rPr>
                <w:color w:val="1D2733"/>
                <w:sz w:val="16"/>
              </w:rPr>
              <w:t>RME 1.4.0 declares supported Rihuum OS/module/API/schema ranges; no product deploys against an unverified core version</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Pre-release</w:t>
            </w:r>
          </w:p>
        </w:tc>
        <w:tc>
          <w:tcPr>
            <w:tcW w:type="dxa" w:w="3000"/>
            <w:vAlign w:val="center"/>
            <w:tcMar>
              <w:top w:w="80" w:type="dxa"/>
              <w:start w:w="120" w:type="dxa"/>
              <w:bottom w:w="80" w:type="dxa"/>
              <w:end w:w="120" w:type="dxa"/>
            </w:tcMar>
          </w:tcPr>
          <w:p>
            <w:pPr>
              <w:spacing w:before="0" w:after="20" w:line="252" w:lineRule="auto"/>
              <w:jc w:val="center"/>
            </w:pPr>
            <w:r>
              <w:rPr>
                <w:color w:val="1D2733"/>
                <w:sz w:val="16"/>
              </w:rPr>
              <w:t>SemVer suffix</w:t>
            </w:r>
          </w:p>
        </w:tc>
        <w:tc>
          <w:tcPr>
            <w:tcW w:type="dxa" w:w="4260"/>
            <w:vAlign w:val="center"/>
            <w:tcMar>
              <w:top w:w="80" w:type="dxa"/>
              <w:start w:w="120" w:type="dxa"/>
              <w:bottom w:w="80" w:type="dxa"/>
              <w:end w:w="120" w:type="dxa"/>
            </w:tcMar>
          </w:tcPr>
          <w:p>
            <w:pPr>
              <w:spacing w:before="0" w:after="20" w:line="252" w:lineRule="auto"/>
              <w:jc w:val="left"/>
            </w:pPr>
            <w:r>
              <w:rPr>
                <w:color w:val="1D2733"/>
                <w:sz w:val="16"/>
              </w:rPr>
              <w:t>2.5.0-beta.2; not represented as production-stable</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Build</w:t>
            </w:r>
          </w:p>
        </w:tc>
        <w:tc>
          <w:tcPr>
            <w:tcW w:type="dxa" w:w="3000"/>
            <w:vAlign w:val="center"/>
            <w:shd w:fill="FAFBFC"/>
            <w:tcMar>
              <w:top w:w="80" w:type="dxa"/>
              <w:start w:w="120" w:type="dxa"/>
              <w:bottom w:w="80" w:type="dxa"/>
              <w:end w:w="120" w:type="dxa"/>
            </w:tcMar>
          </w:tcPr>
          <w:p>
            <w:pPr>
              <w:spacing w:before="0" w:after="20" w:line="252" w:lineRule="auto"/>
              <w:jc w:val="left"/>
            </w:pPr>
            <w:r>
              <w:rPr>
                <w:color w:val="1D2733"/>
                <w:sz w:val="16"/>
              </w:rPr>
              <w:t>SemVer build metadata/artefact id</w:t>
            </w:r>
          </w:p>
        </w:tc>
        <w:tc>
          <w:tcPr>
            <w:tcW w:type="dxa" w:w="4260"/>
            <w:vAlign w:val="center"/>
            <w:shd w:fill="FAFBFC"/>
            <w:tcMar>
              <w:top w:w="80" w:type="dxa"/>
              <w:start w:w="120" w:type="dxa"/>
              <w:bottom w:w="80" w:type="dxa"/>
              <w:end w:w="120" w:type="dxa"/>
            </w:tcMar>
          </w:tcPr>
          <w:p>
            <w:pPr>
              <w:spacing w:before="0" w:after="20" w:line="252" w:lineRule="auto"/>
              <w:jc w:val="left"/>
            </w:pPr>
            <w:r>
              <w:rPr>
                <w:color w:val="1D2733"/>
                <w:sz w:val="16"/>
              </w:rPr>
              <w:t>2.4.1+build.20260722.3; traceable to commit</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API</w:t>
            </w:r>
          </w:p>
        </w:tc>
        <w:tc>
          <w:tcPr>
            <w:tcW w:type="dxa" w:w="3000"/>
            <w:vAlign w:val="center"/>
            <w:tcMar>
              <w:top w:w="80" w:type="dxa"/>
              <w:start w:w="120" w:type="dxa"/>
              <w:bottom w:w="80" w:type="dxa"/>
              <w:end w:w="120" w:type="dxa"/>
            </w:tcMar>
          </w:tcPr>
          <w:p>
            <w:pPr>
              <w:spacing w:before="0" w:after="20" w:line="252" w:lineRule="auto"/>
              <w:jc w:val="left"/>
            </w:pPr>
            <w:r>
              <w:rPr>
                <w:color w:val="1D2733"/>
                <w:sz w:val="16"/>
              </w:rPr>
              <w:t>Major version in contract/route or negotiated header</w:t>
            </w:r>
          </w:p>
        </w:tc>
        <w:tc>
          <w:tcPr>
            <w:tcW w:type="dxa" w:w="4260"/>
            <w:vAlign w:val="center"/>
            <w:tcMar>
              <w:top w:w="80" w:type="dxa"/>
              <w:start w:w="120" w:type="dxa"/>
              <w:bottom w:w="80" w:type="dxa"/>
              <w:end w:w="120" w:type="dxa"/>
            </w:tcMar>
          </w:tcPr>
          <w:p>
            <w:pPr>
              <w:spacing w:before="0" w:after="20" w:line="252" w:lineRule="auto"/>
              <w:jc w:val="left"/>
            </w:pPr>
            <w:r>
              <w:rPr>
                <w:color w:val="1D2733"/>
                <w:sz w:val="16"/>
              </w:rPr>
              <w:t>/api/v1; compatible additions do not force a new major</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Database schema</w:t>
            </w:r>
          </w:p>
        </w:tc>
        <w:tc>
          <w:tcPr>
            <w:tcW w:type="dxa" w:w="3000"/>
            <w:vAlign w:val="center"/>
            <w:shd w:fill="FAFBFC"/>
            <w:tcMar>
              <w:top w:w="80" w:type="dxa"/>
              <w:start w:w="120" w:type="dxa"/>
              <w:bottom w:w="80" w:type="dxa"/>
              <w:end w:w="120" w:type="dxa"/>
            </w:tcMar>
          </w:tcPr>
          <w:p>
            <w:pPr>
              <w:spacing w:before="0" w:after="20" w:line="252" w:lineRule="auto"/>
              <w:jc w:val="left"/>
            </w:pPr>
            <w:r>
              <w:rPr>
                <w:color w:val="1D2733"/>
                <w:sz w:val="16"/>
              </w:rPr>
              <w:t>Monotonic migration identifiers</w:t>
            </w:r>
          </w:p>
        </w:tc>
        <w:tc>
          <w:tcPr>
            <w:tcW w:type="dxa" w:w="4260"/>
            <w:vAlign w:val="center"/>
            <w:shd w:fill="FAFBFC"/>
            <w:tcMar>
              <w:top w:w="80" w:type="dxa"/>
              <w:start w:w="120" w:type="dxa"/>
              <w:bottom w:w="80" w:type="dxa"/>
              <w:end w:w="120" w:type="dxa"/>
            </w:tcMar>
          </w:tcPr>
          <w:p>
            <w:pPr>
              <w:spacing w:before="0" w:after="20" w:line="252" w:lineRule="auto"/>
              <w:jc w:val="left"/>
            </w:pPr>
            <w:r>
              <w:rPr>
                <w:color w:val="1D2733"/>
                <w:sz w:val="16"/>
              </w:rPr>
              <w:t>202607221430_add_audit_index; applied state recorded</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AI prompt/policy</w:t>
            </w:r>
          </w:p>
        </w:tc>
        <w:tc>
          <w:tcPr>
            <w:tcW w:type="dxa" w:w="3000"/>
            <w:vAlign w:val="center"/>
            <w:tcMar>
              <w:top w:w="80" w:type="dxa"/>
              <w:start w:w="120" w:type="dxa"/>
              <w:bottom w:w="80" w:type="dxa"/>
              <w:end w:w="120" w:type="dxa"/>
            </w:tcMar>
          </w:tcPr>
          <w:p>
            <w:pPr>
              <w:spacing w:before="0" w:after="20" w:line="252" w:lineRule="auto"/>
              <w:jc w:val="left"/>
            </w:pPr>
            <w:r>
              <w:rPr>
                <w:color w:val="1D2733"/>
                <w:sz w:val="16"/>
              </w:rPr>
              <w:t>Independent immutable version</w:t>
            </w:r>
          </w:p>
        </w:tc>
        <w:tc>
          <w:tcPr>
            <w:tcW w:type="dxa" w:w="4260"/>
            <w:vAlign w:val="center"/>
            <w:tcMar>
              <w:top w:w="80" w:type="dxa"/>
              <w:start w:w="120" w:type="dxa"/>
              <w:bottom w:w="80" w:type="dxa"/>
              <w:end w:w="120" w:type="dxa"/>
            </w:tcMar>
          </w:tcPr>
          <w:p>
            <w:pPr>
              <w:spacing w:before="0" w:after="20" w:line="252" w:lineRule="auto"/>
              <w:jc w:val="left"/>
            </w:pPr>
            <w:r>
              <w:rPr>
                <w:color w:val="1D2733"/>
                <w:sz w:val="16"/>
              </w:rPr>
              <w:t>support-triage-prompt 1.3.0; linked to model, tools and evaluation</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Model/evaluation set</w:t>
            </w:r>
          </w:p>
        </w:tc>
        <w:tc>
          <w:tcPr>
            <w:tcW w:type="dxa" w:w="3000"/>
            <w:vAlign w:val="center"/>
            <w:shd w:fill="FAFBFC"/>
            <w:tcMar>
              <w:top w:w="80" w:type="dxa"/>
              <w:start w:w="120" w:type="dxa"/>
              <w:bottom w:w="80" w:type="dxa"/>
              <w:end w:w="120" w:type="dxa"/>
            </w:tcMar>
          </w:tcPr>
          <w:p>
            <w:pPr>
              <w:spacing w:before="0" w:after="20" w:line="252" w:lineRule="auto"/>
              <w:jc w:val="left"/>
            </w:pPr>
            <w:r>
              <w:rPr>
                <w:color w:val="1D2733"/>
                <w:sz w:val="16"/>
              </w:rPr>
              <w:t>Provider/model id plus Rihuum registry version</w:t>
            </w:r>
          </w:p>
        </w:tc>
        <w:tc>
          <w:tcPr>
            <w:tcW w:type="dxa" w:w="4260"/>
            <w:vAlign w:val="center"/>
            <w:shd w:fill="FAFBFC"/>
            <w:tcMar>
              <w:top w:w="80" w:type="dxa"/>
              <w:start w:w="120" w:type="dxa"/>
              <w:bottom w:w="80" w:type="dxa"/>
              <w:end w:w="120" w:type="dxa"/>
            </w:tcMar>
          </w:tcPr>
          <w:p>
            <w:pPr>
              <w:spacing w:before="0" w:after="20" w:line="252" w:lineRule="auto"/>
              <w:jc w:val="left"/>
            </w:pPr>
            <w:r>
              <w:rPr>
                <w:color w:val="1D2733"/>
                <w:sz w:val="16"/>
              </w:rPr>
              <w:t>Approved model snapshot and evaluation suite version retained</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Documents/policies</w:t>
            </w:r>
          </w:p>
        </w:tc>
        <w:tc>
          <w:tcPr>
            <w:tcW w:type="dxa" w:w="3000"/>
            <w:vAlign w:val="center"/>
            <w:tcMar>
              <w:top w:w="80" w:type="dxa"/>
              <w:start w:w="120" w:type="dxa"/>
              <w:bottom w:w="80" w:type="dxa"/>
              <w:end w:w="120" w:type="dxa"/>
            </w:tcMar>
          </w:tcPr>
          <w:p>
            <w:pPr>
              <w:spacing w:before="0" w:after="20" w:line="252" w:lineRule="auto"/>
              <w:jc w:val="left"/>
            </w:pPr>
            <w:r>
              <w:rPr>
                <w:color w:val="1D2733"/>
                <w:sz w:val="16"/>
              </w:rPr>
              <w:t>Major/minor with approval date</w:t>
            </w:r>
          </w:p>
        </w:tc>
        <w:tc>
          <w:tcPr>
            <w:tcW w:type="dxa" w:w="4260"/>
            <w:vAlign w:val="center"/>
            <w:tcMar>
              <w:top w:w="80" w:type="dxa"/>
              <w:start w:w="120" w:type="dxa"/>
              <w:bottom w:w="80" w:type="dxa"/>
              <w:end w:w="120" w:type="dxa"/>
            </w:tcMar>
          </w:tcPr>
          <w:p>
            <w:pPr>
              <w:spacing w:before="0" w:after="20" w:line="252" w:lineRule="auto"/>
              <w:jc w:val="left"/>
            </w:pPr>
            <w:r>
              <w:rPr>
                <w:color w:val="1D2733"/>
                <w:sz w:val="16"/>
              </w:rPr>
              <w:t>Blueprint 2.1; policy 1.2; controlled supersession</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Hardware/firmware</w:t>
            </w:r>
          </w:p>
        </w:tc>
        <w:tc>
          <w:tcPr>
            <w:tcW w:type="dxa" w:w="3000"/>
            <w:vAlign w:val="center"/>
            <w:shd w:fill="FAFBFC"/>
            <w:tcMar>
              <w:top w:w="80" w:type="dxa"/>
              <w:start w:w="120" w:type="dxa"/>
              <w:bottom w:w="80" w:type="dxa"/>
              <w:end w:w="120" w:type="dxa"/>
            </w:tcMar>
          </w:tcPr>
          <w:p>
            <w:pPr>
              <w:spacing w:before="0" w:after="20" w:line="252" w:lineRule="auto"/>
              <w:jc w:val="left"/>
            </w:pPr>
            <w:r>
              <w:rPr>
                <w:color w:val="1D2733"/>
                <w:sz w:val="16"/>
              </w:rPr>
              <w:t>Vendor and Rihuum compatibility record</w:t>
            </w:r>
          </w:p>
        </w:tc>
        <w:tc>
          <w:tcPr>
            <w:tcW w:type="dxa" w:w="4260"/>
            <w:vAlign w:val="center"/>
            <w:shd w:fill="FAFBFC"/>
            <w:tcMar>
              <w:top w:w="80" w:type="dxa"/>
              <w:start w:w="120" w:type="dxa"/>
              <w:bottom w:w="80" w:type="dxa"/>
              <w:end w:w="120" w:type="dxa"/>
            </w:tcMar>
          </w:tcPr>
          <w:p>
            <w:pPr>
              <w:spacing w:before="0" w:after="20" w:line="252" w:lineRule="auto"/>
              <w:jc w:val="left"/>
            </w:pPr>
            <w:r>
              <w:rPr>
                <w:color w:val="1D2733"/>
                <w:sz w:val="16"/>
              </w:rPr>
              <w:t>Device model, hardware revision, firmware and support state</w:t>
            </w:r>
          </w:p>
        </w:tc>
      </w:tr>
    </w:tbl>
    <w:p>
      <w:pPr>
        <w:pStyle w:val="Heading2"/>
      </w:pPr>
      <w:r>
        <w:t>Compatibility commitments</w:t>
      </w:r>
    </w:p>
    <w:p>
      <w:pPr>
        <w:pStyle w:val="ListBullet"/>
        <w:keepLines/>
      </w:pPr>
      <w:r>
        <w:t>Declare and document the public interface before promising semantic compatibility.</w:t>
      </w:r>
    </w:p>
    <w:p>
      <w:pPr>
        <w:pStyle w:val="ListBullet"/>
        <w:keepLines/>
      </w:pPr>
      <w:r>
        <w:t>Never change an already released artefact in place; issue a new version.</w:t>
      </w:r>
    </w:p>
    <w:p>
      <w:pPr>
        <w:pStyle w:val="ListBullet"/>
        <w:keepLines/>
      </w:pPr>
      <w:r>
        <w:t>Publish breaking changes, migration guides and support timelines before major upgrades.</w:t>
      </w:r>
    </w:p>
    <w:p>
      <w:pPr>
        <w:pStyle w:val="ListBullet"/>
        <w:keepLines/>
      </w:pPr>
      <w:r>
        <w:t>Pin critical dependencies and record a support matrix for client deployments and integrations.</w:t>
      </w:r>
    </w:p>
    <w:p>
      <w:pPr>
        <w:pStyle w:val="ListBullet"/>
        <w:keepLines/>
      </w:pPr>
      <w:r>
        <w:t>Version AI behaviour components together in an evaluation record even when the user-facing product version does not change.</w:t>
      </w:r>
    </w:p>
    <w:p>
      <w:pPr>
        <w:pStyle w:val="SmallNote"/>
      </w:pPr>
      <w:r>
        <w:t>Semantic Versioning reference: https://semver.org/. See Appendix E.</w:t>
      </w:r>
    </w:p>
    <w:p>
      <w:bookmarkStart w:id="19" w:name="sec19"/>
      <w:pPr>
        <w:pStyle w:val="Heading1"/>
        <w:keepNext/>
        <w:pageBreakBefore/>
      </w:pPr>
      <w:r>
        <w:t>SECTION 19 | Database and System Migrations</w:t>
      </w:r>
      <w:bookmarkEnd w:id="19"/>
    </w:p>
    <w:p>
      <w:pPr>
        <w:pStyle w:val="LeadCallout"/>
        <w:shd w:fill="F4F6F9"/>
        <w:pBdr>
          <w:left w:val="single" w:sz="18" w:space="8" w:color="C99A2E"/>
        </w:pBdr>
      </w:pPr>
      <w:r>
        <w:rPr>
          <w:b/>
          <w:color w:val="102A43"/>
        </w:rPr>
        <w:t xml:space="preserve">Migration rule: </w:t>
      </w:r>
      <w:r>
        <w:t>Every production data or system change is versioned, reviewable, rehearsed, observable and recoverable. A database backup alone is not a migration plan.</w:t>
      </w:r>
    </w:p>
    <w:p>
      <w:pPr>
        <w:pStyle w:val="Heading2"/>
      </w:pPr>
      <w:r>
        <w:t>Expand-migrate-contract pattern</w:t>
      </w:r>
    </w:p>
    <w:p>
      <w:pPr>
        <w:pStyle w:val="ListNumber"/>
        <w:keepLines/>
        <w:numPr>
          <w:ilvl w:val="0"/>
          <w:numId w:val="18"/>
        </w:numPr>
      </w:pPr>
      <w:r>
        <w:rPr>
          <w:b/>
        </w:rPr>
        <w:t xml:space="preserve">Expand: </w:t>
      </w:r>
      <w:r>
        <w:t>Add backward-compatible schema, fields, tables or APIs while old code continues to work.</w:t>
      </w:r>
    </w:p>
    <w:p>
      <w:pPr>
        <w:pStyle w:val="ListNumber"/>
        <w:keepLines/>
        <w:numPr>
          <w:ilvl w:val="0"/>
          <w:numId w:val="18"/>
        </w:numPr>
      </w:pPr>
      <w:r>
        <w:rPr>
          <w:b/>
        </w:rPr>
        <w:t xml:space="preserve">Migrate: </w:t>
      </w:r>
      <w:r>
        <w:t>Backfill or transform data in bounded, restartable batches with validation, monitoring and exception handling.</w:t>
      </w:r>
    </w:p>
    <w:p>
      <w:pPr>
        <w:pStyle w:val="ListNumber"/>
        <w:keepLines/>
        <w:numPr>
          <w:ilvl w:val="0"/>
          <w:numId w:val="18"/>
        </w:numPr>
      </w:pPr>
      <w:r>
        <w:rPr>
          <w:b/>
        </w:rPr>
        <w:t xml:space="preserve">Switch: </w:t>
      </w:r>
      <w:r>
        <w:t>Deploy code that reads/writes the new structure; use flags or compatibility layers for controlled transition.</w:t>
      </w:r>
    </w:p>
    <w:p>
      <w:pPr>
        <w:pStyle w:val="ListNumber"/>
        <w:keepLines/>
        <w:numPr>
          <w:ilvl w:val="0"/>
          <w:numId w:val="18"/>
        </w:numPr>
      </w:pPr>
      <w:r>
        <w:rPr>
          <w:b/>
        </w:rPr>
        <w:t xml:space="preserve">Observe: </w:t>
      </w:r>
      <w:r>
        <w:t>Confirm counts, integrity, latency, errors, business journeys and downstream integrations through a defined stability window.</w:t>
      </w:r>
    </w:p>
    <w:p>
      <w:pPr>
        <w:pStyle w:val="ListNumber"/>
        <w:keepLines/>
        <w:numPr>
          <w:ilvl w:val="0"/>
          <w:numId w:val="18"/>
        </w:numPr>
      </w:pPr>
      <w:r>
        <w:rPr>
          <w:b/>
        </w:rPr>
        <w:t xml:space="preserve">Contract: </w:t>
      </w:r>
      <w:r>
        <w:t>Remove obsolete fields, paths or compatibility code only after consumers and rollback windows are cleared.</w:t>
      </w:r>
    </w:p>
    <w:p>
      <w:pPr>
        <w:pStyle w:val="Heading2"/>
      </w:pPr>
      <w:r>
        <w:t>Migration plan</w:t>
      </w:r>
    </w:p>
    <w:p>
      <w:pPr>
        <w:pStyle w:val="Caption"/>
      </w:pPr>
      <w:r>
        <w:t>Table 30. Required migration controls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200"/>
        <w:gridCol w:w="7160"/>
      </w:tblGrid>
      <w:tr>
        <w:trPr>
          <w:tblHeader w:val="true"/>
          <w:cantSplit/>
        </w:trPr>
        <w:tc>
          <w:tcPr>
            <w:tcW w:type="dxa" w:w="2200"/>
            <w:vAlign w:val="center"/>
            <w:shd w:fill="F2F4F7"/>
            <w:tcMar>
              <w:top w:w="80" w:type="dxa"/>
              <w:start w:w="120" w:type="dxa"/>
              <w:bottom w:w="80" w:type="dxa"/>
              <w:end w:w="120" w:type="dxa"/>
            </w:tcMar>
          </w:tcPr>
          <w:p>
            <w:pPr>
              <w:spacing w:before="0" w:after="0"/>
              <w:jc w:val="center"/>
            </w:pPr>
            <w:r>
              <w:rPr>
                <w:b/>
                <w:color w:val="102A43"/>
                <w:sz w:val="18"/>
              </w:rPr>
              <w:t>Control</w:t>
            </w:r>
          </w:p>
        </w:tc>
        <w:tc>
          <w:tcPr>
            <w:tcW w:type="dxa" w:w="7160"/>
            <w:vAlign w:val="center"/>
            <w:shd w:fill="F2F4F7"/>
            <w:tcMar>
              <w:top w:w="80" w:type="dxa"/>
              <w:start w:w="120" w:type="dxa"/>
              <w:bottom w:w="80" w:type="dxa"/>
              <w:end w:w="120" w:type="dxa"/>
            </w:tcMar>
          </w:tcPr>
          <w:p>
            <w:pPr>
              <w:spacing w:before="0" w:after="0"/>
              <w:jc w:val="center"/>
            </w:pPr>
            <w:r>
              <w:rPr>
                <w:b/>
                <w:color w:val="102A43"/>
                <w:sz w:val="18"/>
              </w:rPr>
              <w:t>Evidence</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Scope and owner</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Systems, tenants, data, integrations, downtime, owner, approver and support contacts</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Data mapping</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Source-to-target fields, types, transformations, defaults, identifiers, retention and rejected records</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Risk</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Threat/privacy assessment, integrity risks, performance, vendor limits and business impact</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Rehearsal</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Representative dataset, elapsed time, capacity, migration logs, validation and recovery result</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Protection</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Verified backup/snapshot, encryption, access, retention and independent copy</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Execution</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Idempotent scripts, checkpoints, rate control, lock/timeout handling and change window</w:t>
            </w:r>
          </w:p>
        </w:tc>
      </w:tr>
      <w:tr>
        <w:trPr>
          <w:cantSplit/>
        </w:trPr>
        <w:tc>
          <w:tcPr>
            <w:tcW w:type="dxa" w:w="2200"/>
            <w:vAlign w:val="center"/>
            <w:tcMar>
              <w:top w:w="80" w:type="dxa"/>
              <w:start w:w="120" w:type="dxa"/>
              <w:bottom w:w="80" w:type="dxa"/>
              <w:end w:w="120" w:type="dxa"/>
            </w:tcMar>
          </w:tcPr>
          <w:p>
            <w:pPr>
              <w:spacing w:before="0" w:after="20" w:line="252" w:lineRule="auto"/>
              <w:jc w:val="left"/>
            </w:pPr>
            <w:r>
              <w:rPr>
                <w:color w:val="1D2733"/>
                <w:sz w:val="17"/>
              </w:rPr>
              <w:t>Validation</w:t>
            </w:r>
          </w:p>
        </w:tc>
        <w:tc>
          <w:tcPr>
            <w:tcW w:type="dxa" w:w="7160"/>
            <w:vAlign w:val="center"/>
            <w:tcMar>
              <w:top w:w="80" w:type="dxa"/>
              <w:start w:w="120" w:type="dxa"/>
              <w:bottom w:w="80" w:type="dxa"/>
              <w:end w:w="120" w:type="dxa"/>
            </w:tcMar>
          </w:tcPr>
          <w:p>
            <w:pPr>
              <w:spacing w:before="0" w:after="20" w:line="252" w:lineRule="auto"/>
              <w:jc w:val="left"/>
            </w:pPr>
            <w:r>
              <w:rPr>
                <w:color w:val="1D2733"/>
                <w:sz w:val="17"/>
              </w:rPr>
              <w:t>Counts, checksums, constraints, samples, permissions, reports and business acceptance</w:t>
            </w:r>
          </w:p>
        </w:tc>
      </w:tr>
      <w:tr>
        <w:trPr>
          <w:cantSplit/>
        </w:trPr>
        <w:tc>
          <w:tcPr>
            <w:tcW w:type="dxa" w:w="2200"/>
            <w:vAlign w:val="center"/>
            <w:shd w:fill="FAFBFC"/>
            <w:tcMar>
              <w:top w:w="80" w:type="dxa"/>
              <w:start w:w="120" w:type="dxa"/>
              <w:bottom w:w="80" w:type="dxa"/>
              <w:end w:w="120" w:type="dxa"/>
            </w:tcMar>
          </w:tcPr>
          <w:p>
            <w:pPr>
              <w:spacing w:before="0" w:after="20" w:line="252" w:lineRule="auto"/>
              <w:jc w:val="left"/>
            </w:pPr>
            <w:r>
              <w:rPr>
                <w:color w:val="1D2733"/>
                <w:sz w:val="17"/>
              </w:rPr>
              <w:t>Rollback/forward fix</w:t>
            </w:r>
          </w:p>
        </w:tc>
        <w:tc>
          <w:tcPr>
            <w:tcW w:type="dxa" w:w="7160"/>
            <w:vAlign w:val="center"/>
            <w:shd w:fill="FAFBFC"/>
            <w:tcMar>
              <w:top w:w="80" w:type="dxa"/>
              <w:start w:w="120" w:type="dxa"/>
              <w:bottom w:w="80" w:type="dxa"/>
              <w:end w:w="120" w:type="dxa"/>
            </w:tcMar>
          </w:tcPr>
          <w:p>
            <w:pPr>
              <w:spacing w:before="0" w:after="20" w:line="252" w:lineRule="auto"/>
              <w:jc w:val="left"/>
            </w:pPr>
            <w:r>
              <w:rPr>
                <w:color w:val="1D2733"/>
                <w:sz w:val="17"/>
              </w:rPr>
              <w:t>Decision threshold, time window, scripts, responsible authority and communication</w:t>
            </w:r>
          </w:p>
        </w:tc>
      </w:tr>
    </w:tbl>
    <w:p>
      <w:pPr>
        <w:pStyle w:val="Heading2"/>
      </w:pPr>
      <w:r>
        <w:t>Data migration principles</w:t>
      </w:r>
    </w:p>
    <w:p>
      <w:pPr>
        <w:pStyle w:val="ListBullet"/>
        <w:keepLines/>
      </w:pPr>
      <w:r>
        <w:t>Preserve original evidence until the target is accepted and retention/deletion is authorised.</w:t>
      </w:r>
    </w:p>
    <w:p>
      <w:pPr>
        <w:pStyle w:val="ListBullet"/>
        <w:keepLines/>
      </w:pPr>
      <w:r>
        <w:t>Use stable immutable identifiers; do not treat names, email addresses or mutable external references as primary identity without mapping.</w:t>
      </w:r>
    </w:p>
    <w:p>
      <w:pPr>
        <w:pStyle w:val="ListBullet"/>
        <w:keepLines/>
      </w:pPr>
      <w:r>
        <w:t>Handle dates, time zones, currency, decimal precision, character encoding and null/default semantics explicitly.</w:t>
      </w:r>
    </w:p>
    <w:p>
      <w:pPr>
        <w:pStyle w:val="ListBullet"/>
        <w:keepLines/>
      </w:pPr>
      <w:r>
        <w:t>Record rejected, duplicated or transformed data and assign business owners to resolve exceptions.</w:t>
      </w:r>
    </w:p>
    <w:p>
      <w:pPr>
        <w:pStyle w:val="ListBullet"/>
        <w:keepLines/>
      </w:pPr>
      <w:r>
        <w:t>Test tenant boundaries and authorisation after migration, not only data counts.</w:t>
      </w:r>
    </w:p>
    <w:p>
      <w:pPr>
        <w:pStyle w:val="ListBullet"/>
        <w:keepLines/>
      </w:pPr>
      <w:r>
        <w:t>Keep migration logs free of unnecessary personal or secret data and protect them as controlled records.</w:t>
      </w:r>
    </w:p>
    <w:p>
      <w:pPr>
        <w:pStyle w:val="Heading2"/>
      </w:pPr>
      <w:r>
        <w:t>System and vendor migration</w:t>
      </w:r>
    </w:p>
    <w:p>
      <w:r>
        <w:t>A vendor migration includes identities, contracts, licences, integrations, network paths, data exports, retention/deletion confirmation, support procedures, monitoring, billing reconciliation and user change. Exit capability must be assessed at procurement and tested before a vendor becomes operationally critical.</w:t>
      </w:r>
    </w:p>
    <w:p>
      <w:bookmarkStart w:id="20" w:name="sec20"/>
      <w:pPr>
        <w:pStyle w:val="Heading1"/>
        <w:keepNext/>
        <w:pageBreakBefore/>
      </w:pPr>
      <w:r>
        <w:t>SECTION 20 | Backup, Rollback, Recovery, and Disaster-Management Procedures</w:t>
      </w:r>
      <w:bookmarkEnd w:id="20"/>
    </w:p>
    <w:p>
      <w:pPr>
        <w:pStyle w:val="LeadCallout"/>
        <w:shd w:fill="F4F6F9"/>
        <w:pBdr>
          <w:left w:val="single" w:sz="18" w:space="8" w:color="C99A2E"/>
        </w:pBdr>
      </w:pPr>
      <w:r>
        <w:rPr>
          <w:b/>
          <w:color w:val="102A43"/>
        </w:rPr>
        <w:t xml:space="preserve">Recovery principle: </w:t>
      </w:r>
      <w:r>
        <w:t>A backup is useful only when Rihuum can locate it, decrypt it, restore it, validate it and resume the priority service within an approved business time objective.</w:t>
      </w:r>
    </w:p>
    <w:p>
      <w:pPr>
        <w:pStyle w:val="Heading2"/>
      </w:pPr>
      <w:r>
        <w:t>Service recovery tiers</w:t>
      </w:r>
    </w:p>
    <w:p>
      <w:pPr>
        <w:pStyle w:val="Caption"/>
      </w:pPr>
      <w:r>
        <w:t>Table 31. Proposed recovery objectives for board approval</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650"/>
        <w:gridCol w:w="2950"/>
        <w:gridCol w:w="1250"/>
        <w:gridCol w:w="1250"/>
        <w:gridCol w:w="2260"/>
      </w:tblGrid>
      <w:tr>
        <w:trPr>
          <w:tblHeader w:val="true"/>
          <w:cantSplit/>
        </w:trPr>
        <w:tc>
          <w:tcPr>
            <w:tcW w:type="dxa" w:w="1650"/>
            <w:vAlign w:val="center"/>
            <w:shd w:fill="F2F4F7"/>
            <w:tcMar>
              <w:top w:w="80" w:type="dxa"/>
              <w:start w:w="120" w:type="dxa"/>
              <w:bottom w:w="80" w:type="dxa"/>
              <w:end w:w="120" w:type="dxa"/>
            </w:tcMar>
          </w:tcPr>
          <w:p>
            <w:pPr>
              <w:spacing w:before="0" w:after="0"/>
              <w:jc w:val="center"/>
            </w:pPr>
            <w:r>
              <w:rPr>
                <w:b/>
                <w:color w:val="102A43"/>
                <w:sz w:val="17"/>
              </w:rPr>
              <w:t>Tier</w:t>
            </w:r>
          </w:p>
        </w:tc>
        <w:tc>
          <w:tcPr>
            <w:tcW w:type="dxa" w:w="2950"/>
            <w:vAlign w:val="center"/>
            <w:shd w:fill="F2F4F7"/>
            <w:tcMar>
              <w:top w:w="80" w:type="dxa"/>
              <w:start w:w="120" w:type="dxa"/>
              <w:bottom w:w="80" w:type="dxa"/>
              <w:end w:w="120" w:type="dxa"/>
            </w:tcMar>
          </w:tcPr>
          <w:p>
            <w:pPr>
              <w:spacing w:before="0" w:after="0"/>
              <w:jc w:val="center"/>
            </w:pPr>
            <w:r>
              <w:rPr>
                <w:b/>
                <w:color w:val="102A43"/>
                <w:sz w:val="17"/>
              </w:rPr>
              <w:t>Examples</w:t>
            </w:r>
          </w:p>
        </w:tc>
        <w:tc>
          <w:tcPr>
            <w:tcW w:type="dxa" w:w="1250"/>
            <w:vAlign w:val="center"/>
            <w:shd w:fill="F2F4F7"/>
            <w:tcMar>
              <w:top w:w="80" w:type="dxa"/>
              <w:start w:w="120" w:type="dxa"/>
              <w:bottom w:w="80" w:type="dxa"/>
              <w:end w:w="120" w:type="dxa"/>
            </w:tcMar>
          </w:tcPr>
          <w:p>
            <w:pPr>
              <w:spacing w:before="0" w:after="0"/>
              <w:jc w:val="center"/>
            </w:pPr>
            <w:r>
              <w:rPr>
                <w:b/>
                <w:color w:val="102A43"/>
                <w:sz w:val="17"/>
              </w:rPr>
              <w:t>Proposed RTO</w:t>
            </w:r>
          </w:p>
        </w:tc>
        <w:tc>
          <w:tcPr>
            <w:tcW w:type="dxa" w:w="1250"/>
            <w:vAlign w:val="center"/>
            <w:shd w:fill="F2F4F7"/>
            <w:tcMar>
              <w:top w:w="80" w:type="dxa"/>
              <w:start w:w="120" w:type="dxa"/>
              <w:bottom w:w="80" w:type="dxa"/>
              <w:end w:w="120" w:type="dxa"/>
            </w:tcMar>
          </w:tcPr>
          <w:p>
            <w:pPr>
              <w:spacing w:before="0" w:after="0"/>
              <w:jc w:val="center"/>
            </w:pPr>
            <w:r>
              <w:rPr>
                <w:b/>
                <w:color w:val="102A43"/>
                <w:sz w:val="17"/>
              </w:rPr>
              <w:t>Proposed RPO</w:t>
            </w:r>
          </w:p>
        </w:tc>
        <w:tc>
          <w:tcPr>
            <w:tcW w:type="dxa" w:w="2260"/>
            <w:vAlign w:val="center"/>
            <w:shd w:fill="F2F4F7"/>
            <w:tcMar>
              <w:top w:w="80" w:type="dxa"/>
              <w:start w:w="120" w:type="dxa"/>
              <w:bottom w:w="80" w:type="dxa"/>
              <w:end w:w="120" w:type="dxa"/>
            </w:tcMar>
          </w:tcPr>
          <w:p>
            <w:pPr>
              <w:spacing w:before="0" w:after="0"/>
              <w:jc w:val="center"/>
            </w:pPr>
            <w:r>
              <w:rPr>
                <w:b/>
                <w:color w:val="102A43"/>
                <w:sz w:val="17"/>
              </w:rPr>
              <w:t>Minimum pattern</w:t>
            </w:r>
          </w:p>
        </w:tc>
      </w:tr>
      <w:tr>
        <w:trPr>
          <w:cantSplit/>
        </w:trPr>
        <w:tc>
          <w:tcPr>
            <w:tcW w:type="dxa" w:w="1650"/>
            <w:vAlign w:val="center"/>
            <w:tcMar>
              <w:top w:w="80" w:type="dxa"/>
              <w:start w:w="120" w:type="dxa"/>
              <w:bottom w:w="80" w:type="dxa"/>
              <w:end w:w="120" w:type="dxa"/>
            </w:tcMar>
          </w:tcPr>
          <w:p>
            <w:pPr>
              <w:spacing w:before="0" w:after="20" w:line="252" w:lineRule="auto"/>
              <w:jc w:val="left"/>
            </w:pPr>
            <w:r>
              <w:rPr>
                <w:color w:val="1D2733"/>
                <w:sz w:val="16"/>
              </w:rPr>
              <w:t>Tier 1 - Critical</w:t>
            </w:r>
          </w:p>
        </w:tc>
        <w:tc>
          <w:tcPr>
            <w:tcW w:type="dxa" w:w="2950"/>
            <w:vAlign w:val="center"/>
            <w:tcMar>
              <w:top w:w="80" w:type="dxa"/>
              <w:start w:w="120" w:type="dxa"/>
              <w:bottom w:w="80" w:type="dxa"/>
              <w:end w:w="120" w:type="dxa"/>
            </w:tcMar>
          </w:tcPr>
          <w:p>
            <w:pPr>
              <w:spacing w:before="0" w:after="20" w:line="252" w:lineRule="auto"/>
              <w:jc w:val="left"/>
            </w:pPr>
            <w:r>
              <w:rPr>
                <w:color w:val="1D2733"/>
                <w:sz w:val="16"/>
              </w:rPr>
              <w:t>Identity, production client operations, billing entitlement, core support</w:t>
            </w:r>
          </w:p>
        </w:tc>
        <w:tc>
          <w:tcPr>
            <w:tcW w:type="dxa" w:w="1250"/>
            <w:vAlign w:val="center"/>
            <w:tcMar>
              <w:top w:w="80" w:type="dxa"/>
              <w:start w:w="120" w:type="dxa"/>
              <w:bottom w:w="80" w:type="dxa"/>
              <w:end w:w="120" w:type="dxa"/>
            </w:tcMar>
          </w:tcPr>
          <w:p>
            <w:pPr>
              <w:spacing w:before="0" w:after="20" w:line="252" w:lineRule="auto"/>
              <w:jc w:val="center"/>
            </w:pPr>
            <w:r>
              <w:rPr>
                <w:color w:val="1D2733"/>
                <w:sz w:val="16"/>
              </w:rPr>
              <w:t>4 hours</w:t>
            </w:r>
          </w:p>
        </w:tc>
        <w:tc>
          <w:tcPr>
            <w:tcW w:type="dxa" w:w="1250"/>
            <w:vAlign w:val="center"/>
            <w:tcMar>
              <w:top w:w="80" w:type="dxa"/>
              <w:start w:w="120" w:type="dxa"/>
              <w:bottom w:w="80" w:type="dxa"/>
              <w:end w:w="120" w:type="dxa"/>
            </w:tcMar>
          </w:tcPr>
          <w:p>
            <w:pPr>
              <w:spacing w:before="0" w:after="20" w:line="252" w:lineRule="auto"/>
              <w:jc w:val="center"/>
            </w:pPr>
            <w:r>
              <w:rPr>
                <w:color w:val="1D2733"/>
                <w:sz w:val="16"/>
              </w:rPr>
              <w:t>1 hour</w:t>
            </w:r>
          </w:p>
        </w:tc>
        <w:tc>
          <w:tcPr>
            <w:tcW w:type="dxa" w:w="2260"/>
            <w:vAlign w:val="center"/>
            <w:tcMar>
              <w:top w:w="80" w:type="dxa"/>
              <w:start w:w="120" w:type="dxa"/>
              <w:bottom w:w="80" w:type="dxa"/>
              <w:end w:w="120" w:type="dxa"/>
            </w:tcMar>
          </w:tcPr>
          <w:p>
            <w:pPr>
              <w:spacing w:before="0" w:after="20" w:line="252" w:lineRule="auto"/>
              <w:jc w:val="left"/>
            </w:pPr>
            <w:r>
              <w:rPr>
                <w:color w:val="1D2733"/>
                <w:sz w:val="16"/>
              </w:rPr>
              <w:t>Frequent protected backup/replication, tested runbook, priority response</w:t>
            </w:r>
          </w:p>
        </w:tc>
      </w:tr>
      <w:tr>
        <w:trPr>
          <w:cantSplit/>
        </w:trPr>
        <w:tc>
          <w:tcPr>
            <w:tcW w:type="dxa" w:w="1650"/>
            <w:vAlign w:val="center"/>
            <w:shd w:fill="FAFBFC"/>
            <w:tcMar>
              <w:top w:w="80" w:type="dxa"/>
              <w:start w:w="120" w:type="dxa"/>
              <w:bottom w:w="80" w:type="dxa"/>
              <w:end w:w="120" w:type="dxa"/>
            </w:tcMar>
          </w:tcPr>
          <w:p>
            <w:pPr>
              <w:spacing w:before="0" w:after="20" w:line="252" w:lineRule="auto"/>
              <w:jc w:val="left"/>
            </w:pPr>
            <w:r>
              <w:rPr>
                <w:color w:val="1D2733"/>
                <w:sz w:val="16"/>
              </w:rPr>
              <w:t>Tier 2 - Important</w:t>
            </w:r>
          </w:p>
        </w:tc>
        <w:tc>
          <w:tcPr>
            <w:tcW w:type="dxa" w:w="2950"/>
            <w:vAlign w:val="center"/>
            <w:shd w:fill="FAFBFC"/>
            <w:tcMar>
              <w:top w:w="80" w:type="dxa"/>
              <w:start w:w="120" w:type="dxa"/>
              <w:bottom w:w="80" w:type="dxa"/>
              <w:end w:w="120" w:type="dxa"/>
            </w:tcMar>
          </w:tcPr>
          <w:p>
            <w:pPr>
              <w:spacing w:before="0" w:after="20" w:line="252" w:lineRule="auto"/>
              <w:jc w:val="left"/>
            </w:pPr>
            <w:r>
              <w:rPr>
                <w:color w:val="1D2733"/>
                <w:sz w:val="16"/>
              </w:rPr>
              <w:t>CRM, Academy delivery, client projects, operational reporting</w:t>
            </w:r>
          </w:p>
        </w:tc>
        <w:tc>
          <w:tcPr>
            <w:tcW w:type="dxa" w:w="1250"/>
            <w:vAlign w:val="center"/>
            <w:shd w:fill="FAFBFC"/>
            <w:tcMar>
              <w:top w:w="80" w:type="dxa"/>
              <w:start w:w="120" w:type="dxa"/>
              <w:bottom w:w="80" w:type="dxa"/>
              <w:end w:w="120" w:type="dxa"/>
            </w:tcMar>
          </w:tcPr>
          <w:p>
            <w:pPr>
              <w:spacing w:before="0" w:after="20" w:line="252" w:lineRule="auto"/>
              <w:jc w:val="center"/>
            </w:pPr>
            <w:r>
              <w:rPr>
                <w:color w:val="1D2733"/>
                <w:sz w:val="16"/>
              </w:rPr>
              <w:t>12 hours</w:t>
            </w:r>
          </w:p>
        </w:tc>
        <w:tc>
          <w:tcPr>
            <w:tcW w:type="dxa" w:w="1250"/>
            <w:vAlign w:val="center"/>
            <w:shd w:fill="FAFBFC"/>
            <w:tcMar>
              <w:top w:w="80" w:type="dxa"/>
              <w:start w:w="120" w:type="dxa"/>
              <w:bottom w:w="80" w:type="dxa"/>
              <w:end w:w="120" w:type="dxa"/>
            </w:tcMar>
          </w:tcPr>
          <w:p>
            <w:pPr>
              <w:spacing w:before="0" w:after="20" w:line="252" w:lineRule="auto"/>
              <w:jc w:val="center"/>
            </w:pPr>
            <w:r>
              <w:rPr>
                <w:color w:val="1D2733"/>
                <w:sz w:val="16"/>
              </w:rPr>
              <w:t>4 hours</w:t>
            </w:r>
          </w:p>
        </w:tc>
        <w:tc>
          <w:tcPr>
            <w:tcW w:type="dxa" w:w="2260"/>
            <w:vAlign w:val="center"/>
            <w:shd w:fill="FAFBFC"/>
            <w:tcMar>
              <w:top w:w="80" w:type="dxa"/>
              <w:start w:w="120" w:type="dxa"/>
              <w:bottom w:w="80" w:type="dxa"/>
              <w:end w:w="120" w:type="dxa"/>
            </w:tcMar>
          </w:tcPr>
          <w:p>
            <w:pPr>
              <w:spacing w:before="0" w:after="20" w:line="252" w:lineRule="auto"/>
              <w:jc w:val="left"/>
            </w:pPr>
            <w:r>
              <w:rPr>
                <w:color w:val="1D2733"/>
                <w:sz w:val="16"/>
              </w:rPr>
              <w:t>Automated backups, separate copy, documented restore</w:t>
            </w:r>
          </w:p>
        </w:tc>
      </w:tr>
      <w:tr>
        <w:trPr>
          <w:cantSplit/>
        </w:trPr>
        <w:tc>
          <w:tcPr>
            <w:tcW w:type="dxa" w:w="1650"/>
            <w:vAlign w:val="center"/>
            <w:tcMar>
              <w:top w:w="80" w:type="dxa"/>
              <w:start w:w="120" w:type="dxa"/>
              <w:bottom w:w="80" w:type="dxa"/>
              <w:end w:w="120" w:type="dxa"/>
            </w:tcMar>
          </w:tcPr>
          <w:p>
            <w:pPr>
              <w:spacing w:before="0" w:after="20" w:line="252" w:lineRule="auto"/>
              <w:jc w:val="left"/>
            </w:pPr>
            <w:r>
              <w:rPr>
                <w:color w:val="1D2733"/>
                <w:sz w:val="16"/>
              </w:rPr>
              <w:t>Tier 3 - Standard</w:t>
            </w:r>
          </w:p>
        </w:tc>
        <w:tc>
          <w:tcPr>
            <w:tcW w:type="dxa" w:w="2950"/>
            <w:vAlign w:val="center"/>
            <w:tcMar>
              <w:top w:w="80" w:type="dxa"/>
              <w:start w:w="120" w:type="dxa"/>
              <w:bottom w:w="80" w:type="dxa"/>
              <w:end w:w="120" w:type="dxa"/>
            </w:tcMar>
          </w:tcPr>
          <w:p>
            <w:pPr>
              <w:spacing w:before="0" w:after="20" w:line="252" w:lineRule="auto"/>
              <w:jc w:val="left"/>
            </w:pPr>
            <w:r>
              <w:rPr>
                <w:color w:val="1D2733"/>
                <w:sz w:val="16"/>
              </w:rPr>
              <w:t>Public websites, knowledge content and non-critical internal tools</w:t>
            </w:r>
          </w:p>
        </w:tc>
        <w:tc>
          <w:tcPr>
            <w:tcW w:type="dxa" w:w="1250"/>
            <w:vAlign w:val="center"/>
            <w:tcMar>
              <w:top w:w="80" w:type="dxa"/>
              <w:start w:w="120" w:type="dxa"/>
              <w:bottom w:w="80" w:type="dxa"/>
              <w:end w:w="120" w:type="dxa"/>
            </w:tcMar>
          </w:tcPr>
          <w:p>
            <w:pPr>
              <w:spacing w:before="0" w:after="20" w:line="252" w:lineRule="auto"/>
              <w:jc w:val="center"/>
            </w:pPr>
            <w:r>
              <w:rPr>
                <w:color w:val="1D2733"/>
                <w:sz w:val="16"/>
              </w:rPr>
              <w:t>24 hours</w:t>
            </w:r>
          </w:p>
        </w:tc>
        <w:tc>
          <w:tcPr>
            <w:tcW w:type="dxa" w:w="1250"/>
            <w:vAlign w:val="center"/>
            <w:tcMar>
              <w:top w:w="80" w:type="dxa"/>
              <w:start w:w="120" w:type="dxa"/>
              <w:bottom w:w="80" w:type="dxa"/>
              <w:end w:w="120" w:type="dxa"/>
            </w:tcMar>
          </w:tcPr>
          <w:p>
            <w:pPr>
              <w:spacing w:before="0" w:after="20" w:line="252" w:lineRule="auto"/>
              <w:jc w:val="center"/>
            </w:pPr>
            <w:r>
              <w:rPr>
                <w:color w:val="1D2733"/>
                <w:sz w:val="16"/>
              </w:rPr>
              <w:t>24 hours</w:t>
            </w:r>
          </w:p>
        </w:tc>
        <w:tc>
          <w:tcPr>
            <w:tcW w:type="dxa" w:w="2260"/>
            <w:vAlign w:val="center"/>
            <w:tcMar>
              <w:top w:w="80" w:type="dxa"/>
              <w:start w:w="120" w:type="dxa"/>
              <w:bottom w:w="80" w:type="dxa"/>
              <w:end w:w="120" w:type="dxa"/>
            </w:tcMar>
          </w:tcPr>
          <w:p>
            <w:pPr>
              <w:spacing w:before="0" w:after="20" w:line="252" w:lineRule="auto"/>
              <w:jc w:val="left"/>
            </w:pPr>
            <w:r>
              <w:rPr>
                <w:color w:val="1D2733"/>
                <w:sz w:val="16"/>
              </w:rPr>
              <w:t>Daily backup, redeployable artefact and DNS/content recovery</w:t>
            </w:r>
          </w:p>
        </w:tc>
      </w:tr>
      <w:tr>
        <w:trPr>
          <w:cantSplit/>
        </w:trPr>
        <w:tc>
          <w:tcPr>
            <w:tcW w:type="dxa" w:w="1650"/>
            <w:vAlign w:val="center"/>
            <w:shd w:fill="FAFBFC"/>
            <w:tcMar>
              <w:top w:w="80" w:type="dxa"/>
              <w:start w:w="120" w:type="dxa"/>
              <w:bottom w:w="80" w:type="dxa"/>
              <w:end w:w="120" w:type="dxa"/>
            </w:tcMar>
          </w:tcPr>
          <w:p>
            <w:pPr>
              <w:spacing w:before="0" w:after="20" w:line="252" w:lineRule="auto"/>
              <w:jc w:val="left"/>
            </w:pPr>
            <w:r>
              <w:rPr>
                <w:color w:val="1D2733"/>
                <w:sz w:val="16"/>
              </w:rPr>
              <w:t>Tier 4 - Archive</w:t>
            </w:r>
          </w:p>
        </w:tc>
        <w:tc>
          <w:tcPr>
            <w:tcW w:type="dxa" w:w="2950"/>
            <w:vAlign w:val="center"/>
            <w:shd w:fill="FAFBFC"/>
            <w:tcMar>
              <w:top w:w="80" w:type="dxa"/>
              <w:start w:w="120" w:type="dxa"/>
              <w:bottom w:w="80" w:type="dxa"/>
              <w:end w:w="120" w:type="dxa"/>
            </w:tcMar>
          </w:tcPr>
          <w:p>
            <w:pPr>
              <w:spacing w:before="0" w:after="20" w:line="252" w:lineRule="auto"/>
              <w:jc w:val="left"/>
            </w:pPr>
            <w:r>
              <w:rPr>
                <w:color w:val="1D2733"/>
                <w:sz w:val="16"/>
              </w:rPr>
              <w:t>Closed projects, historical records and long-term evidence</w:t>
            </w:r>
          </w:p>
        </w:tc>
        <w:tc>
          <w:tcPr>
            <w:tcW w:type="dxa" w:w="1250"/>
            <w:vAlign w:val="center"/>
            <w:shd w:fill="FAFBFC"/>
            <w:tcMar>
              <w:top w:w="80" w:type="dxa"/>
              <w:start w:w="120" w:type="dxa"/>
              <w:bottom w:w="80" w:type="dxa"/>
              <w:end w:w="120" w:type="dxa"/>
            </w:tcMar>
          </w:tcPr>
          <w:p>
            <w:pPr>
              <w:spacing w:before="0" w:after="20" w:line="252" w:lineRule="auto"/>
              <w:jc w:val="center"/>
            </w:pPr>
            <w:r>
              <w:rPr>
                <w:color w:val="1D2733"/>
                <w:sz w:val="16"/>
              </w:rPr>
              <w:t>As agreed</w:t>
            </w:r>
          </w:p>
        </w:tc>
        <w:tc>
          <w:tcPr>
            <w:tcW w:type="dxa" w:w="1250"/>
            <w:vAlign w:val="center"/>
            <w:shd w:fill="FAFBFC"/>
            <w:tcMar>
              <w:top w:w="80" w:type="dxa"/>
              <w:start w:w="120" w:type="dxa"/>
              <w:bottom w:w="80" w:type="dxa"/>
              <w:end w:w="120" w:type="dxa"/>
            </w:tcMar>
          </w:tcPr>
          <w:p>
            <w:pPr>
              <w:spacing w:before="0" w:after="20" w:line="252" w:lineRule="auto"/>
              <w:jc w:val="center"/>
            </w:pPr>
            <w:r>
              <w:rPr>
                <w:color w:val="1D2733"/>
                <w:sz w:val="16"/>
              </w:rPr>
              <w:t>As archived</w:t>
            </w:r>
          </w:p>
        </w:tc>
        <w:tc>
          <w:tcPr>
            <w:tcW w:type="dxa" w:w="2260"/>
            <w:vAlign w:val="center"/>
            <w:shd w:fill="FAFBFC"/>
            <w:tcMar>
              <w:top w:w="80" w:type="dxa"/>
              <w:start w:w="120" w:type="dxa"/>
              <w:bottom w:w="80" w:type="dxa"/>
              <w:end w:w="120" w:type="dxa"/>
            </w:tcMar>
          </w:tcPr>
          <w:p>
            <w:pPr>
              <w:spacing w:before="0" w:after="20" w:line="252" w:lineRule="auto"/>
              <w:jc w:val="left"/>
            </w:pPr>
            <w:r>
              <w:rPr>
                <w:color w:val="1D2733"/>
                <w:sz w:val="16"/>
              </w:rPr>
              <w:t>Encrypted archive, retention index and periodic readability check</w:t>
            </w:r>
          </w:p>
        </w:tc>
      </w:tr>
    </w:tbl>
    <w:p>
      <w:pPr>
        <w:pStyle w:val="SmallNote"/>
        <w:spacing w:before="80" w:after="120"/>
      </w:pPr>
      <w:r>
        <w:t>RTO is the target time to restore service; RPO is the maximum target data-loss window. These are planning recommendations, not contractual promises, until approved, funded and tested.</w:t>
      </w:r>
    </w:p>
    <w:p>
      <w:pPr>
        <w:pStyle w:val="Heading2"/>
      </w:pPr>
      <w:r>
        <w:t>Backup standard</w:t>
      </w:r>
    </w:p>
    <w:p>
      <w:pPr>
        <w:pStyle w:val="ListBullet"/>
        <w:keepLines/>
      </w:pPr>
      <w:r>
        <w:t>Apply a 3-2-1 style resilience pattern where proportionate: multiple copies, different media/services and at least one separately controlled/offline or immutable copy.</w:t>
      </w:r>
    </w:p>
    <w:p>
      <w:pPr>
        <w:pStyle w:val="ListBullet"/>
        <w:keepLines/>
      </w:pPr>
      <w:r>
        <w:t>Back up databases, uploaded files, critical configuration, keys/escrow where appropriate, repositories, deployment records and documentation; do not assume hosting backups cover all assets.</w:t>
      </w:r>
    </w:p>
    <w:p>
      <w:pPr>
        <w:pStyle w:val="ListBullet"/>
        <w:keepLines/>
      </w:pPr>
      <w:r>
        <w:t>Encrypt transfers and stored backup; restrict deletion and restoration rights; record access and rotation.</w:t>
      </w:r>
    </w:p>
    <w:p>
      <w:pPr>
        <w:pStyle w:val="ListBullet"/>
        <w:keepLines/>
      </w:pPr>
      <w:r>
        <w:t>Define retention by legal, contractual, business and privacy need; automated expiry must not destroy litigation, audit or incident holds.</w:t>
      </w:r>
    </w:p>
    <w:p>
      <w:pPr>
        <w:pStyle w:val="ListBullet"/>
        <w:keepLines/>
      </w:pPr>
      <w:r>
        <w:t>Monitor backup jobs and storage capacity; failed jobs create owned alerts, not silent dashboard warnings.</w:t>
      </w:r>
    </w:p>
    <w:p>
      <w:pPr>
        <w:pStyle w:val="ListBullet"/>
        <w:keepLines/>
      </w:pPr>
      <w:r>
        <w:t>Run sample restores monthly for critical data and full service recovery exercises at least annually or after material change, with frequency increased for higher risk.</w:t>
      </w:r>
    </w:p>
    <w:p>
      <w:pPr>
        <w:pStyle w:val="Heading2"/>
      </w:pPr>
      <w:r>
        <w:t>Rollback strategies</w:t>
      </w:r>
    </w:p>
    <w:p>
      <w:pPr>
        <w:pStyle w:val="Caption"/>
      </w:pPr>
      <w:r>
        <w:t>Table 32. Rollback mechanism by change type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300"/>
        <w:gridCol w:w="7060"/>
      </w:tblGrid>
      <w:tr>
        <w:trPr>
          <w:tblHeader w:val="true"/>
          <w:cantSplit/>
        </w:trPr>
        <w:tc>
          <w:tcPr>
            <w:tcW w:type="dxa" w:w="2300"/>
            <w:vAlign w:val="center"/>
            <w:shd w:fill="F2F4F7"/>
            <w:tcMar>
              <w:top w:w="80" w:type="dxa"/>
              <w:start w:w="120" w:type="dxa"/>
              <w:bottom w:w="80" w:type="dxa"/>
              <w:end w:w="120" w:type="dxa"/>
            </w:tcMar>
          </w:tcPr>
          <w:p>
            <w:pPr>
              <w:spacing w:before="0" w:after="0"/>
              <w:jc w:val="center"/>
            </w:pPr>
            <w:r>
              <w:rPr>
                <w:b/>
                <w:color w:val="102A43"/>
                <w:sz w:val="18"/>
              </w:rPr>
              <w:t>Change</w:t>
            </w:r>
          </w:p>
        </w:tc>
        <w:tc>
          <w:tcPr>
            <w:tcW w:type="dxa" w:w="7060"/>
            <w:vAlign w:val="center"/>
            <w:shd w:fill="F2F4F7"/>
            <w:tcMar>
              <w:top w:w="80" w:type="dxa"/>
              <w:start w:w="120" w:type="dxa"/>
              <w:bottom w:w="80" w:type="dxa"/>
              <w:end w:w="120" w:type="dxa"/>
            </w:tcMar>
          </w:tcPr>
          <w:p>
            <w:pPr>
              <w:spacing w:before="0" w:after="0"/>
              <w:jc w:val="left"/>
            </w:pPr>
            <w:r>
              <w:rPr>
                <w:b/>
                <w:color w:val="102A43"/>
                <w:sz w:val="18"/>
              </w:rPr>
              <w:t>Preferred recovery</w:t>
            </w:r>
          </w:p>
        </w:tc>
      </w:tr>
      <w:tr>
        <w:trPr>
          <w:cantSplit/>
        </w:trPr>
        <w:tc>
          <w:tcPr>
            <w:tcW w:type="dxa" w:w="2300"/>
            <w:vAlign w:val="center"/>
            <w:tcMar>
              <w:top w:w="80" w:type="dxa"/>
              <w:start w:w="120" w:type="dxa"/>
              <w:bottom w:w="80" w:type="dxa"/>
              <w:end w:w="120" w:type="dxa"/>
            </w:tcMar>
          </w:tcPr>
          <w:p>
            <w:pPr>
              <w:spacing w:before="0" w:after="20" w:line="252" w:lineRule="auto"/>
              <w:jc w:val="left"/>
            </w:pPr>
            <w:r>
              <w:rPr>
                <w:color w:val="1D2733"/>
                <w:sz w:val="17"/>
              </w:rPr>
              <w:t>Application release</w:t>
            </w:r>
          </w:p>
        </w:tc>
        <w:tc>
          <w:tcPr>
            <w:tcW w:type="dxa" w:w="7060"/>
            <w:vAlign w:val="center"/>
            <w:tcMar>
              <w:top w:w="80" w:type="dxa"/>
              <w:start w:w="120" w:type="dxa"/>
              <w:bottom w:w="80" w:type="dxa"/>
              <w:end w:w="120" w:type="dxa"/>
            </w:tcMar>
          </w:tcPr>
          <w:p>
            <w:pPr>
              <w:spacing w:before="0" w:after="20" w:line="252" w:lineRule="auto"/>
              <w:jc w:val="left"/>
            </w:pPr>
            <w:r>
              <w:rPr>
                <w:color w:val="1D2733"/>
                <w:sz w:val="17"/>
              </w:rPr>
              <w:t>Redeploy the last known-good immutable artefact and compatible configuration</w:t>
            </w:r>
          </w:p>
        </w:tc>
      </w:tr>
      <w:tr>
        <w:trPr>
          <w:cantSplit/>
        </w:trPr>
        <w:tc>
          <w:tcPr>
            <w:tcW w:type="dxa" w:w="2300"/>
            <w:vAlign w:val="center"/>
            <w:shd w:fill="FAFBFC"/>
            <w:tcMar>
              <w:top w:w="80" w:type="dxa"/>
              <w:start w:w="120" w:type="dxa"/>
              <w:bottom w:w="80" w:type="dxa"/>
              <w:end w:w="120" w:type="dxa"/>
            </w:tcMar>
          </w:tcPr>
          <w:p>
            <w:pPr>
              <w:spacing w:before="0" w:after="20" w:line="252" w:lineRule="auto"/>
              <w:jc w:val="left"/>
            </w:pPr>
            <w:r>
              <w:rPr>
                <w:color w:val="1D2733"/>
                <w:sz w:val="17"/>
              </w:rPr>
              <w:t>Feature</w:t>
            </w:r>
          </w:p>
        </w:tc>
        <w:tc>
          <w:tcPr>
            <w:tcW w:type="dxa" w:w="7060"/>
            <w:vAlign w:val="center"/>
            <w:shd w:fill="FAFBFC"/>
            <w:tcMar>
              <w:top w:w="80" w:type="dxa"/>
              <w:start w:w="120" w:type="dxa"/>
              <w:bottom w:w="80" w:type="dxa"/>
              <w:end w:w="120" w:type="dxa"/>
            </w:tcMar>
          </w:tcPr>
          <w:p>
            <w:pPr>
              <w:spacing w:before="0" w:after="20" w:line="252" w:lineRule="auto"/>
              <w:jc w:val="left"/>
            </w:pPr>
            <w:r>
              <w:rPr>
                <w:color w:val="1D2733"/>
                <w:sz w:val="17"/>
              </w:rPr>
              <w:t>Disable with a governed feature flag or configuration while preserving evidence</w:t>
            </w:r>
          </w:p>
        </w:tc>
      </w:tr>
      <w:tr>
        <w:trPr>
          <w:cantSplit/>
        </w:trPr>
        <w:tc>
          <w:tcPr>
            <w:tcW w:type="dxa" w:w="2300"/>
            <w:vAlign w:val="center"/>
            <w:tcMar>
              <w:top w:w="80" w:type="dxa"/>
              <w:start w:w="120" w:type="dxa"/>
              <w:bottom w:w="80" w:type="dxa"/>
              <w:end w:w="120" w:type="dxa"/>
            </w:tcMar>
          </w:tcPr>
          <w:p>
            <w:pPr>
              <w:spacing w:before="0" w:after="20" w:line="252" w:lineRule="auto"/>
              <w:jc w:val="left"/>
            </w:pPr>
            <w:r>
              <w:rPr>
                <w:color w:val="1D2733"/>
                <w:sz w:val="17"/>
              </w:rPr>
              <w:t>Database migration</w:t>
            </w:r>
          </w:p>
        </w:tc>
        <w:tc>
          <w:tcPr>
            <w:tcW w:type="dxa" w:w="7060"/>
            <w:vAlign w:val="center"/>
            <w:tcMar>
              <w:top w:w="80" w:type="dxa"/>
              <w:start w:w="120" w:type="dxa"/>
              <w:bottom w:w="80" w:type="dxa"/>
              <w:end w:w="120" w:type="dxa"/>
            </w:tcMar>
          </w:tcPr>
          <w:p>
            <w:pPr>
              <w:spacing w:before="0" w:after="20" w:line="252" w:lineRule="auto"/>
              <w:jc w:val="left"/>
            </w:pPr>
            <w:r>
              <w:rPr>
                <w:color w:val="1D2733"/>
                <w:sz w:val="17"/>
              </w:rPr>
              <w:t>Backward-compatible code plus forward repair; restore only when the loss/consistency decision is authorised</w:t>
            </w:r>
          </w:p>
        </w:tc>
      </w:tr>
      <w:tr>
        <w:trPr>
          <w:cantSplit/>
        </w:trPr>
        <w:tc>
          <w:tcPr>
            <w:tcW w:type="dxa" w:w="2300"/>
            <w:vAlign w:val="center"/>
            <w:shd w:fill="FAFBFC"/>
            <w:tcMar>
              <w:top w:w="80" w:type="dxa"/>
              <w:start w:w="120" w:type="dxa"/>
              <w:bottom w:w="80" w:type="dxa"/>
              <w:end w:w="120" w:type="dxa"/>
            </w:tcMar>
          </w:tcPr>
          <w:p>
            <w:pPr>
              <w:spacing w:before="0" w:after="20" w:line="252" w:lineRule="auto"/>
              <w:jc w:val="left"/>
            </w:pPr>
            <w:r>
              <w:rPr>
                <w:color w:val="1D2733"/>
                <w:sz w:val="17"/>
              </w:rPr>
              <w:t>Infrastructure</w:t>
            </w:r>
          </w:p>
        </w:tc>
        <w:tc>
          <w:tcPr>
            <w:tcW w:type="dxa" w:w="7060"/>
            <w:vAlign w:val="center"/>
            <w:shd w:fill="FAFBFC"/>
            <w:tcMar>
              <w:top w:w="80" w:type="dxa"/>
              <w:start w:w="120" w:type="dxa"/>
              <w:bottom w:w="80" w:type="dxa"/>
              <w:end w:w="120" w:type="dxa"/>
            </w:tcMar>
          </w:tcPr>
          <w:p>
            <w:pPr>
              <w:spacing w:before="0" w:after="20" w:line="252" w:lineRule="auto"/>
              <w:jc w:val="left"/>
            </w:pPr>
            <w:r>
              <w:rPr>
                <w:color w:val="1D2733"/>
                <w:sz w:val="17"/>
              </w:rPr>
              <w:t>Recreate previous configuration or route traffic to prior environment</w:t>
            </w:r>
          </w:p>
        </w:tc>
      </w:tr>
      <w:tr>
        <w:trPr>
          <w:cantSplit/>
        </w:trPr>
        <w:tc>
          <w:tcPr>
            <w:tcW w:type="dxa" w:w="2300"/>
            <w:vAlign w:val="center"/>
            <w:tcMar>
              <w:top w:w="80" w:type="dxa"/>
              <w:start w:w="120" w:type="dxa"/>
              <w:bottom w:w="80" w:type="dxa"/>
              <w:end w:w="120" w:type="dxa"/>
            </w:tcMar>
          </w:tcPr>
          <w:p>
            <w:pPr>
              <w:spacing w:before="0" w:after="20" w:line="252" w:lineRule="auto"/>
              <w:jc w:val="left"/>
            </w:pPr>
            <w:r>
              <w:rPr>
                <w:color w:val="1D2733"/>
                <w:sz w:val="17"/>
              </w:rPr>
              <w:t>AI model/prompt/tool</w:t>
            </w:r>
          </w:p>
        </w:tc>
        <w:tc>
          <w:tcPr>
            <w:tcW w:type="dxa" w:w="7060"/>
            <w:vAlign w:val="center"/>
            <w:tcMar>
              <w:top w:w="80" w:type="dxa"/>
              <w:start w:w="120" w:type="dxa"/>
              <w:bottom w:w="80" w:type="dxa"/>
              <w:end w:w="120" w:type="dxa"/>
            </w:tcMar>
          </w:tcPr>
          <w:p>
            <w:pPr>
              <w:spacing w:before="0" w:after="20" w:line="252" w:lineRule="auto"/>
              <w:jc w:val="left"/>
            </w:pPr>
            <w:r>
              <w:rPr>
                <w:color w:val="1D2733"/>
                <w:sz w:val="17"/>
              </w:rPr>
              <w:t>Pin and reselect last approved bundle; suspend tool authority; re-run evaluations</w:t>
            </w:r>
          </w:p>
        </w:tc>
      </w:tr>
      <w:tr>
        <w:trPr>
          <w:cantSplit/>
        </w:trPr>
        <w:tc>
          <w:tcPr>
            <w:tcW w:type="dxa" w:w="2300"/>
            <w:vAlign w:val="center"/>
            <w:shd w:fill="FAFBFC"/>
            <w:tcMar>
              <w:top w:w="80" w:type="dxa"/>
              <w:start w:w="120" w:type="dxa"/>
              <w:bottom w:w="80" w:type="dxa"/>
              <w:end w:w="120" w:type="dxa"/>
            </w:tcMar>
          </w:tcPr>
          <w:p>
            <w:pPr>
              <w:spacing w:before="0" w:after="20" w:line="252" w:lineRule="auto"/>
              <w:jc w:val="left"/>
            </w:pPr>
            <w:r>
              <w:rPr>
                <w:color w:val="1D2733"/>
                <w:sz w:val="17"/>
              </w:rPr>
              <w:t>Content/policy</w:t>
            </w:r>
          </w:p>
        </w:tc>
        <w:tc>
          <w:tcPr>
            <w:tcW w:type="dxa" w:w="7060"/>
            <w:vAlign w:val="center"/>
            <w:shd w:fill="FAFBFC"/>
            <w:tcMar>
              <w:top w:w="80" w:type="dxa"/>
              <w:start w:w="120" w:type="dxa"/>
              <w:bottom w:w="80" w:type="dxa"/>
              <w:end w:w="120" w:type="dxa"/>
            </w:tcMar>
          </w:tcPr>
          <w:p>
            <w:pPr>
              <w:spacing w:before="0" w:after="20" w:line="252" w:lineRule="auto"/>
              <w:jc w:val="left"/>
            </w:pPr>
            <w:r>
              <w:rPr>
                <w:color w:val="1D2733"/>
                <w:sz w:val="17"/>
              </w:rPr>
              <w:t>Restore prior approved version with an audit trail and correct downstream copies</w:t>
            </w:r>
          </w:p>
        </w:tc>
      </w:tr>
    </w:tbl>
    <w:p>
      <w:pPr>
        <w:pStyle w:val="Heading2"/>
      </w:pPr>
      <w:r>
        <w:t>Disaster response</w:t>
      </w:r>
    </w:p>
    <w:p>
      <w:pPr>
        <w:pStyle w:val="ListNumber"/>
        <w:keepLines/>
        <w:numPr>
          <w:ilvl w:val="0"/>
          <w:numId w:val="19"/>
        </w:numPr>
      </w:pPr>
      <w:r>
        <w:t>Declare the incident/disaster level, incident commander and communications lead; protect life and safety first.</w:t>
      </w:r>
    </w:p>
    <w:p>
      <w:pPr>
        <w:pStyle w:val="ListNumber"/>
        <w:keepLines/>
        <w:numPr>
          <w:ilvl w:val="0"/>
          <w:numId w:val="19"/>
        </w:numPr>
      </w:pPr>
      <w:r>
        <w:t>Contain further loss, preserve evidence and confirm which services, tenants, data, vendors and obligations are affected.</w:t>
      </w:r>
    </w:p>
    <w:p>
      <w:pPr>
        <w:pStyle w:val="ListNumber"/>
        <w:keepLines/>
        <w:numPr>
          <w:ilvl w:val="0"/>
          <w:numId w:val="19"/>
        </w:numPr>
      </w:pPr>
      <w:r>
        <w:t>Invoke the relevant continuity and recovery runbooks; communicate verified facts through approved channels and status services.</w:t>
      </w:r>
    </w:p>
    <w:p>
      <w:pPr>
        <w:pStyle w:val="ListNumber"/>
        <w:keepLines/>
        <w:numPr>
          <w:ilvl w:val="0"/>
          <w:numId w:val="19"/>
        </w:numPr>
      </w:pPr>
      <w:r>
        <w:t>Restore in business-priority order, validate security and integrity, and obtain service-owner acceptance.</w:t>
      </w:r>
    </w:p>
    <w:p>
      <w:pPr>
        <w:pStyle w:val="ListNumber"/>
        <w:keepLines/>
        <w:numPr>
          <w:ilvl w:val="0"/>
          <w:numId w:val="19"/>
        </w:numPr>
      </w:pPr>
      <w:r>
        <w:t>Complete legal/privacy/contractual notifications as required; maintain a decision and communications log.</w:t>
      </w:r>
    </w:p>
    <w:p>
      <w:pPr>
        <w:pStyle w:val="ListNumber"/>
        <w:keepLines/>
        <w:numPr>
          <w:ilvl w:val="0"/>
          <w:numId w:val="19"/>
        </w:numPr>
      </w:pPr>
      <w:r>
        <w:t>Conduct a blameless lessons review, track corrective actions and re-test changed controls.</w:t>
      </w:r>
    </w:p>
    <w:p>
      <w:bookmarkStart w:id="21" w:name="sec21"/>
      <w:pPr>
        <w:pStyle w:val="Heading1"/>
        <w:keepNext/>
        <w:pageBreakBefore/>
      </w:pPr>
      <w:r>
        <w:t>SECTION 21 | Maintenance and Technical-Support Framework</w:t>
      </w:r>
      <w:bookmarkEnd w:id="21"/>
    </w:p>
    <w:p>
      <w:pPr>
        <w:pStyle w:val="LeadCallout"/>
        <w:shd w:fill="F4F6F9"/>
        <w:pBdr>
          <w:left w:val="single" w:sz="18" w:space="8" w:color="C99A2E"/>
        </w:pBdr>
      </w:pPr>
      <w:r>
        <w:rPr>
          <w:b/>
          <w:color w:val="102A43"/>
        </w:rPr>
        <w:t xml:space="preserve">Service model: </w:t>
      </w:r>
      <w:r>
        <w:t>Support is part of the product. No offer reaches general availability without ownership, hours, channels, severity definitions, escalation, knowledge, maintenance and end-of-support terms.</w:t>
      </w:r>
    </w:p>
    <w:p>
      <w:pPr>
        <w:pStyle w:val="Heading2"/>
      </w:pPr>
      <w:r>
        <w:t>Support operating model</w:t>
      </w:r>
    </w:p>
    <w:p>
      <w:pPr>
        <w:pStyle w:val="ListBullet"/>
        <w:keepLines/>
      </w:pPr>
      <w:r>
        <w:rPr>
          <w:b/>
        </w:rPr>
        <w:t xml:space="preserve">Level 0: </w:t>
      </w:r>
      <w:r>
        <w:t>Self-service status, documentation, knowledge base, guided diagnostics and safe in-product help.</w:t>
      </w:r>
    </w:p>
    <w:p>
      <w:pPr>
        <w:pStyle w:val="ListBullet"/>
        <w:keepLines/>
      </w:pPr>
      <w:r>
        <w:rPr>
          <w:b/>
        </w:rPr>
        <w:t xml:space="preserve">Level 1: </w:t>
      </w:r>
      <w:r>
        <w:t>Intake, identity/entitlement verification, categorisation, known fixes, communication and routing.</w:t>
      </w:r>
    </w:p>
    <w:p>
      <w:pPr>
        <w:pStyle w:val="ListBullet"/>
        <w:keepLines/>
      </w:pPr>
      <w:r>
        <w:rPr>
          <w:b/>
        </w:rPr>
        <w:t xml:space="preserve">Level 2: </w:t>
      </w:r>
      <w:r>
        <w:t>Product/implementation specialists reproduce, configure, repair data/workflows and coordinate vendors.</w:t>
      </w:r>
    </w:p>
    <w:p>
      <w:pPr>
        <w:pStyle w:val="ListBullet"/>
        <w:keepLines/>
      </w:pPr>
      <w:r>
        <w:rPr>
          <w:b/>
        </w:rPr>
        <w:t xml:space="preserve">Level 3: </w:t>
      </w:r>
      <w:r>
        <w:t>Engineering, security or infrastructure investigates defects, vulnerabilities, systemic reliability and permanent correction.</w:t>
      </w:r>
    </w:p>
    <w:p>
      <w:pPr>
        <w:pStyle w:val="ListBullet"/>
        <w:keepLines/>
      </w:pPr>
      <w:r>
        <w:rPr>
          <w:b/>
        </w:rPr>
        <w:t xml:space="preserve">Problem management: </w:t>
      </w:r>
      <w:r>
        <w:t>Recurring incidents are grouped, root causes and workarounds published, and corrective changes prioritised.</w:t>
      </w:r>
    </w:p>
    <w:p>
      <w:pPr>
        <w:pStyle w:val="Heading2"/>
      </w:pPr>
      <w:r>
        <w:t>Proposed severity model</w:t>
      </w:r>
    </w:p>
    <w:p>
      <w:pPr>
        <w:pStyle w:val="Caption"/>
      </w:pPr>
      <w:r>
        <w:t>Table 33. Illustrative incident response targets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500"/>
        <w:gridCol w:w="4560"/>
        <w:gridCol w:w="1750"/>
        <w:gridCol w:w="1550"/>
      </w:tblGrid>
      <w:tr>
        <w:trPr>
          <w:tblHeader w:val="true"/>
          <w:cantSplit/>
        </w:trPr>
        <w:tc>
          <w:tcPr>
            <w:tcW w:type="dxa" w:w="1500"/>
            <w:vAlign w:val="center"/>
            <w:shd w:fill="F2F4F7"/>
            <w:tcMar>
              <w:top w:w="80" w:type="dxa"/>
              <w:start w:w="120" w:type="dxa"/>
              <w:bottom w:w="80" w:type="dxa"/>
              <w:end w:w="120" w:type="dxa"/>
            </w:tcMar>
          </w:tcPr>
          <w:p>
            <w:pPr>
              <w:spacing w:before="0" w:after="0"/>
              <w:jc w:val="center"/>
            </w:pPr>
            <w:r>
              <w:rPr>
                <w:b/>
                <w:color w:val="102A43"/>
                <w:sz w:val="17"/>
              </w:rPr>
              <w:t>Severity</w:t>
            </w:r>
          </w:p>
        </w:tc>
        <w:tc>
          <w:tcPr>
            <w:tcW w:type="dxa" w:w="4560"/>
            <w:vAlign w:val="center"/>
            <w:shd w:fill="F2F4F7"/>
            <w:tcMar>
              <w:top w:w="80" w:type="dxa"/>
              <w:start w:w="120" w:type="dxa"/>
              <w:bottom w:w="80" w:type="dxa"/>
              <w:end w:w="120" w:type="dxa"/>
            </w:tcMar>
          </w:tcPr>
          <w:p>
            <w:pPr>
              <w:spacing w:before="0" w:after="0"/>
              <w:jc w:val="center"/>
            </w:pPr>
            <w:r>
              <w:rPr>
                <w:b/>
                <w:color w:val="102A43"/>
                <w:sz w:val="17"/>
              </w:rPr>
              <w:t>Definition</w:t>
            </w:r>
          </w:p>
        </w:tc>
        <w:tc>
          <w:tcPr>
            <w:tcW w:type="dxa" w:w="1750"/>
            <w:vAlign w:val="center"/>
            <w:shd w:fill="F2F4F7"/>
            <w:tcMar>
              <w:top w:w="80" w:type="dxa"/>
              <w:start w:w="120" w:type="dxa"/>
              <w:bottom w:w="80" w:type="dxa"/>
              <w:end w:w="120" w:type="dxa"/>
            </w:tcMar>
          </w:tcPr>
          <w:p>
            <w:pPr>
              <w:spacing w:before="0" w:after="0"/>
              <w:jc w:val="left"/>
            </w:pPr>
            <w:r>
              <w:rPr>
                <w:b/>
                <w:color w:val="102A43"/>
                <w:sz w:val="17"/>
              </w:rPr>
              <w:t>Initial response target</w:t>
            </w:r>
          </w:p>
        </w:tc>
        <w:tc>
          <w:tcPr>
            <w:tcW w:type="dxa" w:w="1550"/>
            <w:vAlign w:val="center"/>
            <w:shd w:fill="F2F4F7"/>
            <w:tcMar>
              <w:top w:w="80" w:type="dxa"/>
              <w:start w:w="120" w:type="dxa"/>
              <w:bottom w:w="80" w:type="dxa"/>
              <w:end w:w="120" w:type="dxa"/>
            </w:tcMar>
          </w:tcPr>
          <w:p>
            <w:pPr>
              <w:spacing w:before="0" w:after="0"/>
              <w:jc w:val="center"/>
            </w:pPr>
            <w:r>
              <w:rPr>
                <w:b/>
                <w:color w:val="102A43"/>
                <w:sz w:val="17"/>
              </w:rPr>
              <w:t>Update target</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S1 Critical</w:t>
            </w:r>
          </w:p>
        </w:tc>
        <w:tc>
          <w:tcPr>
            <w:tcW w:type="dxa" w:w="4560"/>
            <w:vAlign w:val="center"/>
            <w:tcMar>
              <w:top w:w="80" w:type="dxa"/>
              <w:start w:w="120" w:type="dxa"/>
              <w:bottom w:w="80" w:type="dxa"/>
              <w:end w:w="120" w:type="dxa"/>
            </w:tcMar>
          </w:tcPr>
          <w:p>
            <w:pPr>
              <w:spacing w:before="0" w:after="20" w:line="252" w:lineRule="auto"/>
              <w:jc w:val="left"/>
            </w:pPr>
            <w:r>
              <w:rPr>
                <w:color w:val="1D2733"/>
                <w:sz w:val="16"/>
              </w:rPr>
              <w:t>Widespread outage, confirmed major breach/safety issue, or critical business process unavailable with no workaround</w:t>
            </w:r>
          </w:p>
        </w:tc>
        <w:tc>
          <w:tcPr>
            <w:tcW w:type="dxa" w:w="1750"/>
            <w:vAlign w:val="center"/>
            <w:tcMar>
              <w:top w:w="80" w:type="dxa"/>
              <w:start w:w="120" w:type="dxa"/>
              <w:bottom w:w="80" w:type="dxa"/>
              <w:end w:w="120" w:type="dxa"/>
            </w:tcMar>
          </w:tcPr>
          <w:p>
            <w:pPr>
              <w:spacing w:before="0" w:after="20" w:line="252" w:lineRule="auto"/>
              <w:jc w:val="left"/>
            </w:pPr>
            <w:r>
              <w:rPr>
                <w:color w:val="1D2733"/>
                <w:sz w:val="16"/>
              </w:rPr>
              <w:t>15-30 minutes for contracted 24x7 service</w:t>
            </w:r>
          </w:p>
        </w:tc>
        <w:tc>
          <w:tcPr>
            <w:tcW w:type="dxa" w:w="1550"/>
            <w:vAlign w:val="center"/>
            <w:tcMar>
              <w:top w:w="80" w:type="dxa"/>
              <w:start w:w="120" w:type="dxa"/>
              <w:bottom w:w="80" w:type="dxa"/>
              <w:end w:w="120" w:type="dxa"/>
            </w:tcMar>
          </w:tcPr>
          <w:p>
            <w:pPr>
              <w:spacing w:before="0" w:after="20" w:line="252" w:lineRule="auto"/>
              <w:jc w:val="left"/>
            </w:pPr>
            <w:r>
              <w:rPr>
                <w:color w:val="1D2733"/>
                <w:sz w:val="16"/>
              </w:rPr>
              <w:t>At least hourly while active</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S2 High</w:t>
            </w:r>
          </w:p>
        </w:tc>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Major degradation or important function unavailable for multiple users; limited workaround</w:t>
            </w:r>
          </w:p>
        </w:tc>
        <w:tc>
          <w:tcPr>
            <w:tcW w:type="dxa" w:w="1750"/>
            <w:vAlign w:val="center"/>
            <w:shd w:fill="FAFBFC"/>
            <w:tcMar>
              <w:top w:w="80" w:type="dxa"/>
              <w:start w:w="120" w:type="dxa"/>
              <w:bottom w:w="80" w:type="dxa"/>
              <w:end w:w="120" w:type="dxa"/>
            </w:tcMar>
          </w:tcPr>
          <w:p>
            <w:pPr>
              <w:spacing w:before="0" w:after="20" w:line="252" w:lineRule="auto"/>
              <w:jc w:val="left"/>
            </w:pPr>
            <w:r>
              <w:rPr>
                <w:color w:val="1D2733"/>
                <w:sz w:val="16"/>
              </w:rPr>
              <w:t>1 business hour</w:t>
            </w:r>
          </w:p>
        </w:tc>
        <w:tc>
          <w:tcPr>
            <w:tcW w:type="dxa" w:w="1550"/>
            <w:vAlign w:val="center"/>
            <w:shd w:fill="FAFBFC"/>
            <w:tcMar>
              <w:top w:w="80" w:type="dxa"/>
              <w:start w:w="120" w:type="dxa"/>
              <w:bottom w:w="80" w:type="dxa"/>
              <w:end w:w="120" w:type="dxa"/>
            </w:tcMar>
          </w:tcPr>
          <w:p>
            <w:pPr>
              <w:spacing w:before="0" w:after="20" w:line="252" w:lineRule="auto"/>
              <w:jc w:val="left"/>
            </w:pPr>
            <w:r>
              <w:rPr>
                <w:color w:val="1D2733"/>
                <w:sz w:val="16"/>
              </w:rPr>
              <w:t>Every 4 business hours</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S3 Medium</w:t>
            </w:r>
          </w:p>
        </w:tc>
        <w:tc>
          <w:tcPr>
            <w:tcW w:type="dxa" w:w="4560"/>
            <w:vAlign w:val="center"/>
            <w:tcMar>
              <w:top w:w="80" w:type="dxa"/>
              <w:start w:w="120" w:type="dxa"/>
              <w:bottom w:w="80" w:type="dxa"/>
              <w:end w:w="120" w:type="dxa"/>
            </w:tcMar>
          </w:tcPr>
          <w:p>
            <w:pPr>
              <w:spacing w:before="0" w:after="20" w:line="252" w:lineRule="auto"/>
              <w:jc w:val="left"/>
            </w:pPr>
            <w:r>
              <w:rPr>
                <w:color w:val="1D2733"/>
                <w:sz w:val="16"/>
              </w:rPr>
              <w:t>Limited defect with workaround and no material data/security impact</w:t>
            </w:r>
          </w:p>
        </w:tc>
        <w:tc>
          <w:tcPr>
            <w:tcW w:type="dxa" w:w="1750"/>
            <w:vAlign w:val="center"/>
            <w:tcMar>
              <w:top w:w="80" w:type="dxa"/>
              <w:start w:w="120" w:type="dxa"/>
              <w:bottom w:w="80" w:type="dxa"/>
              <w:end w:w="120" w:type="dxa"/>
            </w:tcMar>
          </w:tcPr>
          <w:p>
            <w:pPr>
              <w:spacing w:before="0" w:after="20" w:line="252" w:lineRule="auto"/>
              <w:jc w:val="left"/>
            </w:pPr>
            <w:r>
              <w:rPr>
                <w:color w:val="1D2733"/>
                <w:sz w:val="16"/>
              </w:rPr>
              <w:t>1 business day</w:t>
            </w:r>
          </w:p>
        </w:tc>
        <w:tc>
          <w:tcPr>
            <w:tcW w:type="dxa" w:w="1550"/>
            <w:vAlign w:val="center"/>
            <w:tcMar>
              <w:top w:w="80" w:type="dxa"/>
              <w:start w:w="120" w:type="dxa"/>
              <w:bottom w:w="80" w:type="dxa"/>
              <w:end w:w="120" w:type="dxa"/>
            </w:tcMar>
          </w:tcPr>
          <w:p>
            <w:pPr>
              <w:spacing w:before="0" w:after="20" w:line="252" w:lineRule="auto"/>
              <w:jc w:val="left"/>
            </w:pPr>
            <w:r>
              <w:rPr>
                <w:color w:val="1D2733"/>
                <w:sz w:val="16"/>
              </w:rPr>
              <w:t>Agreed milestone updates</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S4 Low/Request</w:t>
            </w:r>
          </w:p>
        </w:tc>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Question, minor issue, enhancement or planned service request</w:t>
            </w:r>
          </w:p>
        </w:tc>
        <w:tc>
          <w:tcPr>
            <w:tcW w:type="dxa" w:w="1750"/>
            <w:vAlign w:val="center"/>
            <w:shd w:fill="FAFBFC"/>
            <w:tcMar>
              <w:top w:w="80" w:type="dxa"/>
              <w:start w:w="120" w:type="dxa"/>
              <w:bottom w:w="80" w:type="dxa"/>
              <w:end w:w="120" w:type="dxa"/>
            </w:tcMar>
          </w:tcPr>
          <w:p>
            <w:pPr>
              <w:spacing w:before="0" w:after="20" w:line="252" w:lineRule="auto"/>
              <w:jc w:val="left"/>
            </w:pPr>
            <w:r>
              <w:rPr>
                <w:color w:val="1D2733"/>
                <w:sz w:val="16"/>
              </w:rPr>
              <w:t>2 business days</w:t>
            </w:r>
          </w:p>
        </w:tc>
        <w:tc>
          <w:tcPr>
            <w:tcW w:type="dxa" w:w="1550"/>
            <w:vAlign w:val="center"/>
            <w:shd w:fill="FAFBFC"/>
            <w:tcMar>
              <w:top w:w="80" w:type="dxa"/>
              <w:start w:w="120" w:type="dxa"/>
              <w:bottom w:w="80" w:type="dxa"/>
              <w:end w:w="120" w:type="dxa"/>
            </w:tcMar>
          </w:tcPr>
          <w:p>
            <w:pPr>
              <w:spacing w:before="0" w:after="20" w:line="252" w:lineRule="auto"/>
              <w:jc w:val="left"/>
            </w:pPr>
            <w:r>
              <w:rPr>
                <w:color w:val="1D2733"/>
                <w:sz w:val="16"/>
              </w:rPr>
              <w:t>On material change</w:t>
            </w:r>
          </w:p>
        </w:tc>
      </w:tr>
    </w:tbl>
    <w:p>
      <w:pPr>
        <w:pStyle w:val="SmallNote"/>
        <w:spacing w:before="80" w:after="120"/>
      </w:pPr>
      <w:r>
        <w:t>Targets must be reconciled to staffing, monitoring and each signed service agreement before being offered contractually.</w:t>
      </w:r>
    </w:p>
    <w:p>
      <w:pPr>
        <w:pStyle w:val="Heading2"/>
      </w:pPr>
      <w:r>
        <w:t>Maintenance classes</w:t>
      </w:r>
    </w:p>
    <w:p>
      <w:pPr>
        <w:pStyle w:val="ListBullet"/>
        <w:keepLines/>
      </w:pPr>
      <w:r>
        <w:t>Preventive: patching, dependency/runtime updates, capacity, backup tests, access reviews, data cleanup and certificate renewal.</w:t>
      </w:r>
    </w:p>
    <w:p>
      <w:pPr>
        <w:pStyle w:val="ListBullet"/>
        <w:keepLines/>
      </w:pPr>
      <w:r>
        <w:t>Corrective: defect, vulnerability, configuration and data repair with root-cause follow-up.</w:t>
      </w:r>
    </w:p>
    <w:p>
      <w:pPr>
        <w:pStyle w:val="ListBullet"/>
        <w:keepLines/>
      </w:pPr>
      <w:r>
        <w:t>Adaptive: browser/device/API/regulatory/vendor compatibility and infrastructure migration.</w:t>
      </w:r>
    </w:p>
    <w:p>
      <w:pPr>
        <w:pStyle w:val="ListBullet"/>
        <w:keepLines/>
      </w:pPr>
      <w:r>
        <w:t>Perfective: performance, usability, accessibility, supportability and operating-cost improvement.</w:t>
      </w:r>
    </w:p>
    <w:p>
      <w:pPr>
        <w:pStyle w:val="ListBullet"/>
        <w:keepLines/>
      </w:pPr>
      <w:r>
        <w:t>Lifecycle: end-of-sale, deprecation, migration, end-of-support and secure retirement.</w:t>
      </w:r>
    </w:p>
    <w:p>
      <w:pPr>
        <w:pStyle w:val="Heading2"/>
      </w:pPr>
      <w:r>
        <w:t>Support data and customer experience</w:t>
      </w:r>
    </w:p>
    <w:p>
      <w:r>
        <w:t>All support contacts should enter one service system linked to the client, product, entitlement, environment, release and asset. Record symptom, impact, diagnosis, actions, communications, resolution, cause and knowledge article. Sensitive data belongs in approved protected fields or attachments, never in unnecessary free text. Customer satisfaction and reopen/recurrence rates are reviewed with response and resolution metrics.</w:t>
      </w:r>
    </w:p>
    <w:p>
      <w:bookmarkStart w:id="22" w:name="sec22"/>
      <w:pPr>
        <w:pStyle w:val="Heading1"/>
        <w:keepNext/>
        <w:pageBreakBefore/>
      </w:pPr>
      <w:r>
        <w:t>SECTION 22 | Quality Assurance and Software-Testing Procedures</w:t>
      </w:r>
      <w:bookmarkEnd w:id="22"/>
    </w:p>
    <w:p>
      <w:pPr>
        <w:pStyle w:val="LeadCallout"/>
        <w:shd w:fill="F4F6F9"/>
        <w:pBdr>
          <w:left w:val="single" w:sz="18" w:space="8" w:color="C99A2E"/>
        </w:pBdr>
      </w:pPr>
      <w:r>
        <w:rPr>
          <w:b/>
          <w:color w:val="102A43"/>
        </w:rPr>
        <w:t xml:space="preserve">Quality objective: </w:t>
      </w:r>
      <w:r>
        <w:t>Testing provides evidence about risk; it does not prove perfection. Quality is designed into requirements, architecture, code, data, operations and support, then verified continuously.</w:t>
      </w:r>
    </w:p>
    <w:p>
      <w:pPr>
        <w:pStyle w:val="Heading2"/>
      </w:pPr>
      <w:r>
        <w:t>Test portfolio</w:t>
      </w:r>
    </w:p>
    <w:p>
      <w:pPr>
        <w:pStyle w:val="Caption"/>
      </w:pPr>
      <w:r>
        <w:t>Table 34. Required test layers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900"/>
        <w:gridCol w:w="4260"/>
        <w:gridCol w:w="3200"/>
      </w:tblGrid>
      <w:tr>
        <w:trPr>
          <w:tblHeader w:val="true"/>
          <w:cantSplit/>
        </w:trPr>
        <w:tc>
          <w:tcPr>
            <w:tcW w:type="dxa" w:w="1900"/>
            <w:vAlign w:val="center"/>
            <w:shd w:fill="F2F4F7"/>
            <w:tcMar>
              <w:top w:w="80" w:type="dxa"/>
              <w:start w:w="120" w:type="dxa"/>
              <w:bottom w:w="80" w:type="dxa"/>
              <w:end w:w="120" w:type="dxa"/>
            </w:tcMar>
          </w:tcPr>
          <w:p>
            <w:pPr>
              <w:spacing w:before="0" w:after="0"/>
              <w:jc w:val="center"/>
            </w:pPr>
            <w:r>
              <w:rPr>
                <w:b/>
                <w:color w:val="102A43"/>
                <w:sz w:val="17"/>
              </w:rPr>
              <w:t>Test type</w:t>
            </w:r>
          </w:p>
        </w:tc>
        <w:tc>
          <w:tcPr>
            <w:tcW w:type="dxa" w:w="4260"/>
            <w:vAlign w:val="center"/>
            <w:shd w:fill="F2F4F7"/>
            <w:tcMar>
              <w:top w:w="80" w:type="dxa"/>
              <w:start w:w="120" w:type="dxa"/>
              <w:bottom w:w="80" w:type="dxa"/>
              <w:end w:w="120" w:type="dxa"/>
            </w:tcMar>
          </w:tcPr>
          <w:p>
            <w:pPr>
              <w:spacing w:before="0" w:after="0"/>
              <w:jc w:val="center"/>
            </w:pPr>
            <w:r>
              <w:rPr>
                <w:b/>
                <w:color w:val="102A43"/>
                <w:sz w:val="17"/>
              </w:rPr>
              <w:t>Purpose</w:t>
            </w:r>
          </w:p>
        </w:tc>
        <w:tc>
          <w:tcPr>
            <w:tcW w:type="dxa" w:w="3200"/>
            <w:vAlign w:val="center"/>
            <w:shd w:fill="F2F4F7"/>
            <w:tcMar>
              <w:top w:w="80" w:type="dxa"/>
              <w:start w:w="120" w:type="dxa"/>
              <w:bottom w:w="80" w:type="dxa"/>
              <w:end w:w="120" w:type="dxa"/>
            </w:tcMar>
          </w:tcPr>
          <w:p>
            <w:pPr>
              <w:spacing w:before="0" w:after="0"/>
              <w:jc w:val="left"/>
            </w:pPr>
            <w:r>
              <w:rPr>
                <w:b/>
                <w:color w:val="102A43"/>
                <w:sz w:val="17"/>
              </w:rPr>
              <w:t>Automation expectation</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Unit/component</w:t>
            </w:r>
          </w:p>
        </w:tc>
        <w:tc>
          <w:tcPr>
            <w:tcW w:type="dxa" w:w="4260"/>
            <w:vAlign w:val="center"/>
            <w:tcMar>
              <w:top w:w="80" w:type="dxa"/>
              <w:start w:w="120" w:type="dxa"/>
              <w:bottom w:w="80" w:type="dxa"/>
              <w:end w:w="120" w:type="dxa"/>
            </w:tcMar>
          </w:tcPr>
          <w:p>
            <w:pPr>
              <w:spacing w:before="0" w:after="20" w:line="252" w:lineRule="auto"/>
              <w:jc w:val="left"/>
            </w:pPr>
            <w:r>
              <w:rPr>
                <w:color w:val="1D2733"/>
                <w:sz w:val="16"/>
              </w:rPr>
              <w:t>Business rules, validation and isolated module behaviour</w:t>
            </w:r>
          </w:p>
        </w:tc>
        <w:tc>
          <w:tcPr>
            <w:tcW w:type="dxa" w:w="3200"/>
            <w:vAlign w:val="center"/>
            <w:tcMar>
              <w:top w:w="80" w:type="dxa"/>
              <w:start w:w="120" w:type="dxa"/>
              <w:bottom w:w="80" w:type="dxa"/>
              <w:end w:w="120" w:type="dxa"/>
            </w:tcMar>
          </w:tcPr>
          <w:p>
            <w:pPr>
              <w:spacing w:before="0" w:after="20" w:line="252" w:lineRule="auto"/>
              <w:jc w:val="left"/>
            </w:pPr>
            <w:r>
              <w:rPr>
                <w:color w:val="1D2733"/>
                <w:sz w:val="16"/>
              </w:rPr>
              <w:t>High for stable logic; fast and deterministic</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Integration/contract</w:t>
            </w:r>
          </w:p>
        </w:tc>
        <w:tc>
          <w:tcPr>
            <w:tcW w:type="dxa" w:w="4260"/>
            <w:vAlign w:val="center"/>
            <w:shd w:fill="FAFBFC"/>
            <w:tcMar>
              <w:top w:w="80" w:type="dxa"/>
              <w:start w:w="120" w:type="dxa"/>
              <w:bottom w:w="80" w:type="dxa"/>
              <w:end w:w="120" w:type="dxa"/>
            </w:tcMar>
          </w:tcPr>
          <w:p>
            <w:pPr>
              <w:spacing w:before="0" w:after="20" w:line="252" w:lineRule="auto"/>
              <w:jc w:val="left"/>
            </w:pPr>
            <w:r>
              <w:rPr>
                <w:color w:val="1D2733"/>
                <w:sz w:val="16"/>
              </w:rPr>
              <w:t>Database, modules, APIs, providers and asynchronous workflows</w:t>
            </w:r>
          </w:p>
        </w:tc>
        <w:tc>
          <w:tcPr>
            <w:tcW w:type="dxa" w:w="3200"/>
            <w:vAlign w:val="center"/>
            <w:shd w:fill="FAFBFC"/>
            <w:tcMar>
              <w:top w:w="80" w:type="dxa"/>
              <w:start w:w="120" w:type="dxa"/>
              <w:bottom w:w="80" w:type="dxa"/>
              <w:end w:w="120" w:type="dxa"/>
            </w:tcMar>
          </w:tcPr>
          <w:p>
            <w:pPr>
              <w:spacing w:before="0" w:after="20" w:line="252" w:lineRule="auto"/>
              <w:jc w:val="left"/>
            </w:pPr>
            <w:r>
              <w:rPr>
                <w:color w:val="1D2733"/>
                <w:sz w:val="16"/>
              </w:rPr>
              <w:t>Automate critical contracts and failure cases</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End-to-end</w:t>
            </w:r>
          </w:p>
        </w:tc>
        <w:tc>
          <w:tcPr>
            <w:tcW w:type="dxa" w:w="4260"/>
            <w:vAlign w:val="center"/>
            <w:tcMar>
              <w:top w:w="80" w:type="dxa"/>
              <w:start w:w="120" w:type="dxa"/>
              <w:bottom w:w="80" w:type="dxa"/>
              <w:end w:w="120" w:type="dxa"/>
            </w:tcMar>
          </w:tcPr>
          <w:p>
            <w:pPr>
              <w:spacing w:before="0" w:after="20" w:line="252" w:lineRule="auto"/>
              <w:jc w:val="left"/>
            </w:pPr>
            <w:r>
              <w:rPr>
                <w:color w:val="1D2733"/>
                <w:sz w:val="16"/>
              </w:rPr>
              <w:t>Priority user journeys across the deployed system</w:t>
            </w:r>
          </w:p>
        </w:tc>
        <w:tc>
          <w:tcPr>
            <w:tcW w:type="dxa" w:w="3200"/>
            <w:vAlign w:val="center"/>
            <w:tcMar>
              <w:top w:w="80" w:type="dxa"/>
              <w:start w:w="120" w:type="dxa"/>
              <w:bottom w:w="80" w:type="dxa"/>
              <w:end w:w="120" w:type="dxa"/>
            </w:tcMar>
          </w:tcPr>
          <w:p>
            <w:pPr>
              <w:spacing w:before="0" w:after="20" w:line="252" w:lineRule="auto"/>
              <w:jc w:val="left"/>
            </w:pPr>
            <w:r>
              <w:rPr>
                <w:color w:val="1D2733"/>
                <w:sz w:val="16"/>
              </w:rPr>
              <w:t>Small reliable suite plus exploratory testing</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Security</w:t>
            </w:r>
          </w:p>
        </w:tc>
        <w:tc>
          <w:tcPr>
            <w:tcW w:type="dxa" w:w="4260"/>
            <w:vAlign w:val="center"/>
            <w:shd w:fill="FAFBFC"/>
            <w:tcMar>
              <w:top w:w="80" w:type="dxa"/>
              <w:start w:w="120" w:type="dxa"/>
              <w:bottom w:w="80" w:type="dxa"/>
              <w:end w:w="120" w:type="dxa"/>
            </w:tcMar>
          </w:tcPr>
          <w:p>
            <w:pPr>
              <w:spacing w:before="0" w:after="20" w:line="252" w:lineRule="auto"/>
              <w:jc w:val="left"/>
            </w:pPr>
            <w:r>
              <w:rPr>
                <w:color w:val="1D2733"/>
                <w:sz w:val="16"/>
              </w:rPr>
              <w:t>Threat controls, SAST/dependency/secrets, authentication, authorisation, input/output and penetration</w:t>
            </w:r>
          </w:p>
        </w:tc>
        <w:tc>
          <w:tcPr>
            <w:tcW w:type="dxa" w:w="3200"/>
            <w:vAlign w:val="center"/>
            <w:shd w:fill="FAFBFC"/>
            <w:tcMar>
              <w:top w:w="80" w:type="dxa"/>
              <w:start w:w="120" w:type="dxa"/>
              <w:bottom w:w="80" w:type="dxa"/>
              <w:end w:w="120" w:type="dxa"/>
            </w:tcMar>
          </w:tcPr>
          <w:p>
            <w:pPr>
              <w:spacing w:before="0" w:after="20" w:line="252" w:lineRule="auto"/>
              <w:jc w:val="left"/>
            </w:pPr>
            <w:r>
              <w:rPr>
                <w:color w:val="1D2733"/>
                <w:sz w:val="16"/>
              </w:rPr>
              <w:t>Automated baseline; independent manual testing by risk</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Privacy/data</w:t>
            </w:r>
          </w:p>
        </w:tc>
        <w:tc>
          <w:tcPr>
            <w:tcW w:type="dxa" w:w="4260"/>
            <w:vAlign w:val="center"/>
            <w:tcMar>
              <w:top w:w="80" w:type="dxa"/>
              <w:start w:w="120" w:type="dxa"/>
              <w:bottom w:w="80" w:type="dxa"/>
              <w:end w:w="120" w:type="dxa"/>
            </w:tcMar>
          </w:tcPr>
          <w:p>
            <w:pPr>
              <w:spacing w:before="0" w:after="20" w:line="252" w:lineRule="auto"/>
              <w:jc w:val="left"/>
            </w:pPr>
            <w:r>
              <w:rPr>
                <w:color w:val="1D2733"/>
                <w:sz w:val="16"/>
              </w:rPr>
              <w:t>Purpose, consent/notice, rights, minimisation, isolation, retention, export and deletion</w:t>
            </w:r>
          </w:p>
        </w:tc>
        <w:tc>
          <w:tcPr>
            <w:tcW w:type="dxa" w:w="3200"/>
            <w:vAlign w:val="center"/>
            <w:tcMar>
              <w:top w:w="80" w:type="dxa"/>
              <w:start w:w="120" w:type="dxa"/>
              <w:bottom w:w="80" w:type="dxa"/>
              <w:end w:w="120" w:type="dxa"/>
            </w:tcMar>
          </w:tcPr>
          <w:p>
            <w:pPr>
              <w:spacing w:before="0" w:after="20" w:line="252" w:lineRule="auto"/>
              <w:jc w:val="left"/>
            </w:pPr>
            <w:r>
              <w:rPr>
                <w:color w:val="1D2733"/>
                <w:sz w:val="16"/>
              </w:rPr>
              <w:t>Automate repeatable tenant/data controls</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Accessibility</w:t>
            </w:r>
          </w:p>
        </w:tc>
        <w:tc>
          <w:tcPr>
            <w:tcW w:type="dxa" w:w="4260"/>
            <w:vAlign w:val="center"/>
            <w:shd w:fill="FAFBFC"/>
            <w:tcMar>
              <w:top w:w="80" w:type="dxa"/>
              <w:start w:w="120" w:type="dxa"/>
              <w:bottom w:w="80" w:type="dxa"/>
              <w:end w:w="120" w:type="dxa"/>
            </w:tcMar>
          </w:tcPr>
          <w:p>
            <w:pPr>
              <w:spacing w:before="0" w:after="20" w:line="252" w:lineRule="auto"/>
              <w:jc w:val="left"/>
            </w:pPr>
            <w:r>
              <w:rPr>
                <w:color w:val="1D2733"/>
                <w:sz w:val="16"/>
              </w:rPr>
              <w:t>Keyboard, semantics, contrast, labels, zoom, screen-reader paths and content</w:t>
            </w:r>
          </w:p>
        </w:tc>
        <w:tc>
          <w:tcPr>
            <w:tcW w:type="dxa" w:w="3200"/>
            <w:vAlign w:val="center"/>
            <w:shd w:fill="FAFBFC"/>
            <w:tcMar>
              <w:top w:w="80" w:type="dxa"/>
              <w:start w:w="120" w:type="dxa"/>
              <w:bottom w:w="80" w:type="dxa"/>
              <w:end w:w="120" w:type="dxa"/>
            </w:tcMar>
          </w:tcPr>
          <w:p>
            <w:pPr>
              <w:spacing w:before="0" w:after="20" w:line="252" w:lineRule="auto"/>
              <w:jc w:val="left"/>
            </w:pPr>
            <w:r>
              <w:rPr>
                <w:color w:val="1D2733"/>
                <w:sz w:val="16"/>
              </w:rPr>
              <w:t>Automated scan plus manual assistive review</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Performance/resilience</w:t>
            </w:r>
          </w:p>
        </w:tc>
        <w:tc>
          <w:tcPr>
            <w:tcW w:type="dxa" w:w="4260"/>
            <w:vAlign w:val="center"/>
            <w:tcMar>
              <w:top w:w="80" w:type="dxa"/>
              <w:start w:w="120" w:type="dxa"/>
              <w:bottom w:w="80" w:type="dxa"/>
              <w:end w:w="120" w:type="dxa"/>
            </w:tcMar>
          </w:tcPr>
          <w:p>
            <w:pPr>
              <w:spacing w:before="0" w:after="20" w:line="252" w:lineRule="auto"/>
              <w:jc w:val="left"/>
            </w:pPr>
            <w:r>
              <w:rPr>
                <w:color w:val="1D2733"/>
                <w:sz w:val="16"/>
              </w:rPr>
              <w:t>Load, latency, capacity, timeout, retry, failover, queue and recovery</w:t>
            </w:r>
          </w:p>
        </w:tc>
        <w:tc>
          <w:tcPr>
            <w:tcW w:type="dxa" w:w="3200"/>
            <w:vAlign w:val="center"/>
            <w:tcMar>
              <w:top w:w="80" w:type="dxa"/>
              <w:start w:w="120" w:type="dxa"/>
              <w:bottom w:w="80" w:type="dxa"/>
              <w:end w:w="120" w:type="dxa"/>
            </w:tcMar>
          </w:tcPr>
          <w:p>
            <w:pPr>
              <w:spacing w:before="0" w:after="20" w:line="252" w:lineRule="auto"/>
              <w:jc w:val="left"/>
            </w:pPr>
            <w:r>
              <w:rPr>
                <w:color w:val="1D2733"/>
                <w:sz w:val="16"/>
              </w:rPr>
              <w:t>Scenario-based before scale/material change</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Migration/recovery</w:t>
            </w:r>
          </w:p>
        </w:tc>
        <w:tc>
          <w:tcPr>
            <w:tcW w:type="dxa" w:w="4260"/>
            <w:vAlign w:val="center"/>
            <w:shd w:fill="FAFBFC"/>
            <w:tcMar>
              <w:top w:w="80" w:type="dxa"/>
              <w:start w:w="120" w:type="dxa"/>
              <w:bottom w:w="80" w:type="dxa"/>
              <w:end w:w="120" w:type="dxa"/>
            </w:tcMar>
          </w:tcPr>
          <w:p>
            <w:pPr>
              <w:spacing w:before="0" w:after="20" w:line="252" w:lineRule="auto"/>
              <w:jc w:val="left"/>
            </w:pPr>
            <w:r>
              <w:rPr>
                <w:color w:val="1D2733"/>
                <w:sz w:val="16"/>
              </w:rPr>
              <w:t>Schema/data transformation, rollback/forward fix and restore</w:t>
            </w:r>
          </w:p>
        </w:tc>
        <w:tc>
          <w:tcPr>
            <w:tcW w:type="dxa" w:w="3200"/>
            <w:vAlign w:val="center"/>
            <w:shd w:fill="FAFBFC"/>
            <w:tcMar>
              <w:top w:w="80" w:type="dxa"/>
              <w:start w:w="120" w:type="dxa"/>
              <w:bottom w:w="80" w:type="dxa"/>
              <w:end w:w="120" w:type="dxa"/>
            </w:tcMar>
          </w:tcPr>
          <w:p>
            <w:pPr>
              <w:spacing w:before="0" w:after="20" w:line="252" w:lineRule="auto"/>
              <w:jc w:val="left"/>
            </w:pPr>
            <w:r>
              <w:rPr>
                <w:color w:val="1D2733"/>
                <w:sz w:val="16"/>
              </w:rPr>
              <w:t>Every migration in CI/staging; periodic full exercises</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AI evaluation</w:t>
            </w:r>
          </w:p>
        </w:tc>
        <w:tc>
          <w:tcPr>
            <w:tcW w:type="dxa" w:w="4260"/>
            <w:vAlign w:val="center"/>
            <w:tcMar>
              <w:top w:w="80" w:type="dxa"/>
              <w:start w:w="120" w:type="dxa"/>
              <w:bottom w:w="80" w:type="dxa"/>
              <w:end w:w="120" w:type="dxa"/>
            </w:tcMar>
          </w:tcPr>
          <w:p>
            <w:pPr>
              <w:spacing w:before="0" w:after="20" w:line="252" w:lineRule="auto"/>
              <w:jc w:val="left"/>
            </w:pPr>
            <w:r>
              <w:rPr>
                <w:color w:val="1D2733"/>
                <w:sz w:val="16"/>
              </w:rPr>
              <w:t>Task success, grounding, safety, bias, privacy, security, cost and regression</w:t>
            </w:r>
          </w:p>
        </w:tc>
        <w:tc>
          <w:tcPr>
            <w:tcW w:type="dxa" w:w="3200"/>
            <w:vAlign w:val="center"/>
            <w:tcMar>
              <w:top w:w="80" w:type="dxa"/>
              <w:start w:w="120" w:type="dxa"/>
              <w:bottom w:w="80" w:type="dxa"/>
              <w:end w:w="120" w:type="dxa"/>
            </w:tcMar>
          </w:tcPr>
          <w:p>
            <w:pPr>
              <w:spacing w:before="0" w:after="20" w:line="252" w:lineRule="auto"/>
              <w:jc w:val="left"/>
            </w:pPr>
            <w:r>
              <w:rPr>
                <w:color w:val="1D2733"/>
                <w:sz w:val="16"/>
              </w:rPr>
              <w:t>Versioned suites on every material model/prompt/knowledge/tool change</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UAT</w:t>
            </w:r>
          </w:p>
        </w:tc>
        <w:tc>
          <w:tcPr>
            <w:tcW w:type="dxa" w:w="4260"/>
            <w:vAlign w:val="center"/>
            <w:shd w:fill="FAFBFC"/>
            <w:tcMar>
              <w:top w:w="80" w:type="dxa"/>
              <w:start w:w="120" w:type="dxa"/>
              <w:bottom w:w="80" w:type="dxa"/>
              <w:end w:w="120" w:type="dxa"/>
            </w:tcMar>
          </w:tcPr>
          <w:p>
            <w:pPr>
              <w:spacing w:before="0" w:after="20" w:line="252" w:lineRule="auto"/>
              <w:jc w:val="left"/>
            </w:pPr>
            <w:r>
              <w:rPr>
                <w:color w:val="1D2733"/>
                <w:sz w:val="16"/>
              </w:rPr>
              <w:t>Business fitness, usability, control and operational readiness</w:t>
            </w:r>
          </w:p>
        </w:tc>
        <w:tc>
          <w:tcPr>
            <w:tcW w:type="dxa" w:w="3200"/>
            <w:vAlign w:val="center"/>
            <w:shd w:fill="FAFBFC"/>
            <w:tcMar>
              <w:top w:w="80" w:type="dxa"/>
              <w:start w:w="120" w:type="dxa"/>
              <w:bottom w:w="80" w:type="dxa"/>
              <w:end w:w="120" w:type="dxa"/>
            </w:tcMar>
          </w:tcPr>
          <w:p>
            <w:pPr>
              <w:spacing w:before="0" w:after="20" w:line="252" w:lineRule="auto"/>
              <w:jc w:val="left"/>
            </w:pPr>
            <w:r>
              <w:rPr>
                <w:color w:val="1D2733"/>
                <w:sz w:val="16"/>
              </w:rPr>
              <w:t>Human acceptance with recorded scenarios/results</w:t>
            </w:r>
          </w:p>
        </w:tc>
      </w:tr>
    </w:tbl>
    <w:p>
      <w:pPr>
        <w:pStyle w:val="Heading2"/>
      </w:pPr>
      <w:r>
        <w:t>Release quality gates</w:t>
      </w:r>
    </w:p>
    <w:p>
      <w:pPr>
        <w:pStyle w:val="ListBullet"/>
        <w:keepLines/>
      </w:pPr>
      <w:r>
        <w:t>No unresolved critical defect or vulnerability; high-risk exceptions require named authorised acceptance, compensating controls and expiry.</w:t>
      </w:r>
    </w:p>
    <w:p>
      <w:pPr>
        <w:pStyle w:val="ListBullet"/>
        <w:keepLines/>
      </w:pPr>
      <w:r>
        <w:t>Critical business journeys, tenant boundaries and permission tests pass in the release candidate.</w:t>
      </w:r>
    </w:p>
    <w:p>
      <w:pPr>
        <w:pStyle w:val="ListBullet"/>
        <w:keepLines/>
      </w:pPr>
      <w:r>
        <w:t>Performance and capacity are appropriate to forecast demand and hosting limits.</w:t>
      </w:r>
    </w:p>
    <w:p>
      <w:pPr>
        <w:pStyle w:val="ListBullet"/>
        <w:keepLines/>
      </w:pPr>
      <w:r>
        <w:t>Migrations, backup, restore or rollback are verified proportionate to change risk.</w:t>
      </w:r>
    </w:p>
    <w:p>
      <w:pPr>
        <w:pStyle w:val="ListBullet"/>
        <w:keepLines/>
      </w:pPr>
      <w:r>
        <w:t>Monitoring, support knowledge, runbooks, documentation and communications are complete.</w:t>
      </w:r>
    </w:p>
    <w:p>
      <w:pPr>
        <w:pStyle w:val="ListBullet"/>
        <w:keepLines/>
      </w:pPr>
      <w:r>
        <w:t>AI changes meet approved evaluation thresholds; high-impact outputs/actions retain required human control.</w:t>
      </w:r>
    </w:p>
    <w:p>
      <w:pPr>
        <w:pStyle w:val="Heading2"/>
      </w:pPr>
      <w:r>
        <w:t>Defect management</w:t>
      </w:r>
    </w:p>
    <w:p>
      <w:r>
        <w:t>Defects are classified by customer impact, security/privacy, data integrity, frequency, detectability and workaround. Each has an owner, affected versions, root-cause category, target release and verification evidence. Escaped defects and recurring causes feed design standards, automated tests and training. Quality metrics must discourage hiding defects or inflating test counts.</w:t>
      </w:r>
    </w:p>
    <w:p>
      <w:pPr>
        <w:pStyle w:val="Heading2"/>
      </w:pPr>
      <w:r>
        <w:t>Independent assurance</w:t>
      </w:r>
    </w:p>
    <w:p>
      <w:r>
        <w:t>Use independent penetration testing and specialist reviews before high-risk production use, after material architecture/security change and at a frequency based on exposure and contract. Hardware, CCTV, telematics and physical-access installations require site acceptance, safety, failover, tamper and evidence-retention tests in addition to software testing.</w:t>
      </w:r>
    </w:p>
    <w:p>
      <w:bookmarkStart w:id="23" w:name="sec23"/>
      <w:pPr>
        <w:pStyle w:val="Heading1"/>
        <w:keepNext/>
        <w:pageBreakBefore/>
      </w:pPr>
      <w:r>
        <w:t>SECTION 23 | Documentation and Change-Management Processes</w:t>
      </w:r>
      <w:bookmarkEnd w:id="23"/>
    </w:p>
    <w:p>
      <w:pPr>
        <w:pStyle w:val="LeadCallout"/>
        <w:shd w:fill="F4F6F9"/>
        <w:pBdr>
          <w:left w:val="single" w:sz="18" w:space="8" w:color="C99A2E"/>
        </w:pBdr>
      </w:pPr>
      <w:r>
        <w:rPr>
          <w:b/>
          <w:color w:val="102A43"/>
        </w:rPr>
        <w:t xml:space="preserve">Documentation rule: </w:t>
      </w:r>
      <w:r>
        <w:t>A system is not maintainable when essential knowledge lives only in a person's memory, a chat thread or an unversioned file.</w:t>
      </w:r>
    </w:p>
    <w:p>
      <w:pPr>
        <w:pStyle w:val="Heading2"/>
      </w:pPr>
      <w:r>
        <w:t>Documentation architecture</w:t>
      </w:r>
    </w:p>
    <w:p>
      <w:pPr>
        <w:pStyle w:val="Caption"/>
      </w:pPr>
      <w:r>
        <w:t>Table 35. Controlled documentation set</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100"/>
        <w:gridCol w:w="7260"/>
      </w:tblGrid>
      <w:tr>
        <w:trPr>
          <w:tblHeader w:val="true"/>
          <w:cantSplit/>
        </w:trPr>
        <w:tc>
          <w:tcPr>
            <w:tcW w:type="dxa" w:w="2100"/>
            <w:vAlign w:val="center"/>
            <w:shd w:fill="F2F4F7"/>
            <w:tcMar>
              <w:top w:w="80" w:type="dxa"/>
              <w:start w:w="120" w:type="dxa"/>
              <w:bottom w:w="80" w:type="dxa"/>
              <w:end w:w="120" w:type="dxa"/>
            </w:tcMar>
          </w:tcPr>
          <w:p>
            <w:pPr>
              <w:spacing w:before="0" w:after="0"/>
              <w:jc w:val="center"/>
            </w:pPr>
            <w:r>
              <w:rPr>
                <w:b/>
                <w:color w:val="102A43"/>
                <w:sz w:val="18"/>
              </w:rPr>
              <w:t>Audience</w:t>
            </w:r>
          </w:p>
        </w:tc>
        <w:tc>
          <w:tcPr>
            <w:tcW w:type="dxa" w:w="7260"/>
            <w:vAlign w:val="center"/>
            <w:shd w:fill="F2F4F7"/>
            <w:tcMar>
              <w:top w:w="80" w:type="dxa"/>
              <w:start w:w="120" w:type="dxa"/>
              <w:bottom w:w="80" w:type="dxa"/>
              <w:end w:w="120" w:type="dxa"/>
            </w:tcMar>
          </w:tcPr>
          <w:p>
            <w:pPr>
              <w:spacing w:before="0" w:after="0"/>
              <w:jc w:val="left"/>
            </w:pPr>
            <w:r>
              <w:rPr>
                <w:b/>
                <w:color w:val="102A43"/>
                <w:sz w:val="18"/>
              </w:rPr>
              <w:t>Required documents</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7"/>
              </w:rPr>
              <w:t>Board/executive</w:t>
            </w:r>
          </w:p>
        </w:tc>
        <w:tc>
          <w:tcPr>
            <w:tcW w:type="dxa" w:w="7260"/>
            <w:vAlign w:val="center"/>
            <w:tcMar>
              <w:top w:w="80" w:type="dxa"/>
              <w:start w:w="120" w:type="dxa"/>
              <w:bottom w:w="80" w:type="dxa"/>
              <w:end w:w="120" w:type="dxa"/>
            </w:tcMar>
          </w:tcPr>
          <w:p>
            <w:pPr>
              <w:spacing w:before="0" w:after="20" w:line="252" w:lineRule="auto"/>
              <w:jc w:val="left"/>
            </w:pPr>
            <w:r>
              <w:rPr>
                <w:color w:val="1D2733"/>
                <w:sz w:val="17"/>
              </w:rPr>
              <w:t>Strategy, portfolio, budget, risk, KPI, policies, investment decisions and business continuity</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7"/>
              </w:rPr>
              <w:t>Product/commercial</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7"/>
              </w:rPr>
              <w:t>Product brief, roadmap, pricing, licence, SLA, implementation, release and lifecycle</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7"/>
              </w:rPr>
              <w:t>Architecture/engineering</w:t>
            </w:r>
          </w:p>
        </w:tc>
        <w:tc>
          <w:tcPr>
            <w:tcW w:type="dxa" w:w="7260"/>
            <w:vAlign w:val="center"/>
            <w:tcMar>
              <w:top w:w="80" w:type="dxa"/>
              <w:start w:w="120" w:type="dxa"/>
              <w:bottom w:w="80" w:type="dxa"/>
              <w:end w:w="120" w:type="dxa"/>
            </w:tcMar>
          </w:tcPr>
          <w:p>
            <w:pPr>
              <w:spacing w:before="0" w:after="20" w:line="252" w:lineRule="auto"/>
              <w:jc w:val="left"/>
            </w:pPr>
            <w:r>
              <w:rPr>
                <w:color w:val="1D2733"/>
                <w:sz w:val="17"/>
              </w:rPr>
              <w:t>ADRs, diagrams, module/API/data contracts, setup, code standards, migrations and dependency records</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7"/>
              </w:rPr>
              <w:t>Security/privacy</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7"/>
              </w:rPr>
              <w:t>Policies, risk/threat/DPIA, controls, access, processing records, vendors, incidents and assurance evidence</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7"/>
              </w:rPr>
              <w:t>Operations/support</w:t>
            </w:r>
          </w:p>
        </w:tc>
        <w:tc>
          <w:tcPr>
            <w:tcW w:type="dxa" w:w="7260"/>
            <w:vAlign w:val="center"/>
            <w:tcMar>
              <w:top w:w="80" w:type="dxa"/>
              <w:start w:w="120" w:type="dxa"/>
              <w:bottom w:w="80" w:type="dxa"/>
              <w:end w:w="120" w:type="dxa"/>
            </w:tcMar>
          </w:tcPr>
          <w:p>
            <w:pPr>
              <w:spacing w:before="0" w:after="20" w:line="252" w:lineRule="auto"/>
              <w:jc w:val="left"/>
            </w:pPr>
            <w:r>
              <w:rPr>
                <w:color w:val="1D2733"/>
                <w:sz w:val="17"/>
              </w:rPr>
              <w:t>Deployment, monitoring, backup/restore, incident, escalation, troubleshooting, assets and maintenance</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7"/>
              </w:rPr>
              <w:t>Users/clients</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7"/>
              </w:rPr>
              <w:t>Onboarding, configuration, role guides, release notes, knowledge base, status and support channels</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7"/>
              </w:rPr>
              <w:t>Academy</w:t>
            </w:r>
          </w:p>
        </w:tc>
        <w:tc>
          <w:tcPr>
            <w:tcW w:type="dxa" w:w="7260"/>
            <w:vAlign w:val="center"/>
            <w:tcMar>
              <w:top w:w="80" w:type="dxa"/>
              <w:start w:w="120" w:type="dxa"/>
              <w:bottom w:w="80" w:type="dxa"/>
              <w:end w:w="120" w:type="dxa"/>
            </w:tcMar>
          </w:tcPr>
          <w:p>
            <w:pPr>
              <w:spacing w:before="0" w:after="20" w:line="252" w:lineRule="auto"/>
              <w:jc w:val="left"/>
            </w:pPr>
            <w:r>
              <w:rPr>
                <w:color w:val="1D2733"/>
                <w:sz w:val="17"/>
              </w:rPr>
              <w:t>Curriculum, outcomes, content ownership, assessment, moderation, credentials, learner policy and instructor guides</w:t>
            </w:r>
          </w:p>
        </w:tc>
      </w:tr>
    </w:tbl>
    <w:p>
      <w:pPr>
        <w:pStyle w:val="Heading2"/>
      </w:pPr>
      <w:r>
        <w:t>Change request and approval</w:t>
      </w:r>
    </w:p>
    <w:p>
      <w:pPr>
        <w:pStyle w:val="ListNumber"/>
        <w:keepLines/>
        <w:numPr>
          <w:ilvl w:val="0"/>
          <w:numId w:val="20"/>
        </w:numPr>
      </w:pPr>
      <w:r>
        <w:t>Describe the current state, proposed change, reason, benefits, urgency, scope, owner and affected stakeholders.</w:t>
      </w:r>
    </w:p>
    <w:p>
      <w:pPr>
        <w:pStyle w:val="ListNumber"/>
        <w:keepLines/>
        <w:numPr>
          <w:ilvl w:val="0"/>
          <w:numId w:val="20"/>
        </w:numPr>
      </w:pPr>
      <w:r>
        <w:t>Assess product, architecture, security, privacy, legal, financial, people, customer, vendor, migration and continuity impacts.</w:t>
      </w:r>
    </w:p>
    <w:p>
      <w:pPr>
        <w:pStyle w:val="ListNumber"/>
        <w:keepLines/>
        <w:numPr>
          <w:ilvl w:val="0"/>
          <w:numId w:val="20"/>
        </w:numPr>
      </w:pPr>
      <w:r>
        <w:t>Classify standard, normal/major or emergency change and route to the appropriate authority.</w:t>
      </w:r>
    </w:p>
    <w:p>
      <w:pPr>
        <w:pStyle w:val="ListNumber"/>
        <w:keepLines/>
        <w:numPr>
          <w:ilvl w:val="0"/>
          <w:numId w:val="20"/>
        </w:numPr>
      </w:pPr>
      <w:r>
        <w:t>Plan build/test, communication, training, deployment, monitoring, rollback and post-change review.</w:t>
      </w:r>
    </w:p>
    <w:p>
      <w:pPr>
        <w:pStyle w:val="ListNumber"/>
        <w:keepLines/>
        <w:numPr>
          <w:ilvl w:val="0"/>
          <w:numId w:val="20"/>
        </w:numPr>
      </w:pPr>
      <w:r>
        <w:t>Execute through controlled environments; record actual outcome, deviations, incidents and evidence.</w:t>
      </w:r>
    </w:p>
    <w:p>
      <w:pPr>
        <w:pStyle w:val="ListNumber"/>
        <w:keepLines/>
        <w:numPr>
          <w:ilvl w:val="0"/>
          <w:numId w:val="20"/>
        </w:numPr>
      </w:pPr>
      <w:r>
        <w:t>Update the authoritative documents, configuration, knowledge and training; close only after acceptance.</w:t>
      </w:r>
    </w:p>
    <w:p>
      <w:pPr>
        <w:pStyle w:val="Heading2"/>
      </w:pPr>
      <w:r>
        <w:t>People-side adoption</w:t>
      </w:r>
    </w:p>
    <w:p>
      <w:pPr>
        <w:pStyle w:val="ListBullet"/>
        <w:keepLines/>
      </w:pPr>
      <w:r>
        <w:t>Identify who must understand, decide, perform or support a new way of working.</w:t>
      </w:r>
    </w:p>
    <w:p>
      <w:pPr>
        <w:pStyle w:val="ListBullet"/>
        <w:keepLines/>
      </w:pPr>
      <w:r>
        <w:t>Explain purpose and impact early; include affected staff and clients in design and pilot feedback.</w:t>
      </w:r>
    </w:p>
    <w:p>
      <w:pPr>
        <w:pStyle w:val="ListBullet"/>
        <w:keepLines/>
      </w:pPr>
      <w:r>
        <w:t>Provide role-specific training, practice environments, job aids and manager reinforcement.</w:t>
      </w:r>
    </w:p>
    <w:p>
      <w:pPr>
        <w:pStyle w:val="ListBullet"/>
        <w:keepLines/>
      </w:pPr>
      <w:r>
        <w:t>Measure adoption and workarounds, not only attendance; resolve process, incentive and usability barriers.</w:t>
      </w:r>
    </w:p>
    <w:p>
      <w:pPr>
        <w:pStyle w:val="ListBullet"/>
        <w:keepLines/>
      </w:pPr>
      <w:r>
        <w:t>Retire old processes and access deliberately after the new process is stable.</w:t>
      </w:r>
    </w:p>
    <w:p>
      <w:pPr>
        <w:pStyle w:val="Heading2"/>
      </w:pPr>
      <w:r>
        <w:t>Retention and review</w:t>
      </w:r>
    </w:p>
    <w:p>
      <w:r>
        <w:t>Each controlled document has an owner, classification, version, approval, effective date, review date and superseded status. Retain documents according to legal, contractual, operational and evidential need while avoiding indefinite storage of unnecessary personal data. Public content has accuracy and freshness reviews; expired claims, prices, team profiles and security statements are corrected or removed promptly.</w:t>
      </w:r>
    </w:p>
    <w:p>
      <w:bookmarkStart w:id="24" w:name="sec24"/>
      <w:pPr>
        <w:pStyle w:val="Heading1"/>
        <w:keepNext/>
        <w:pageBreakBefore/>
      </w:pPr>
      <w:r>
        <w:t>SECTION 24 | Emerging Technologies and Market Opportunities</w:t>
      </w:r>
      <w:bookmarkEnd w:id="24"/>
    </w:p>
    <w:p>
      <w:pPr>
        <w:pStyle w:val="LeadCallout"/>
        <w:shd w:fill="F4F6F9"/>
        <w:pBdr>
          <w:left w:val="single" w:sz="18" w:space="8" w:color="C99A2E"/>
        </w:pBdr>
      </w:pPr>
      <w:r>
        <w:rPr>
          <w:b/>
          <w:color w:val="102A43"/>
        </w:rPr>
        <w:t xml:space="preserve">Innovation position: </w:t>
      </w:r>
      <w:r>
        <w:t>Rihuum will evaluate emerging technology as a business option, not a marketing identity. Adoption requires a real problem, comparative advantage, safe operating model and acceptable lifecycle economics.</w:t>
      </w:r>
    </w:p>
    <w:p>
      <w:pPr>
        <w:pStyle w:val="Caption"/>
      </w:pPr>
      <w:r>
        <w:t>Table 36. Technology opportunity and near-term posture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900"/>
        <w:gridCol w:w="4440"/>
        <w:gridCol w:w="3020"/>
      </w:tblGrid>
      <w:tr>
        <w:trPr>
          <w:tblHeader w:val="true"/>
          <w:cantSplit/>
        </w:trPr>
        <w:tc>
          <w:tcPr>
            <w:tcW w:type="dxa" w:w="1900"/>
            <w:vAlign w:val="center"/>
            <w:shd w:fill="F2F4F7"/>
            <w:tcMar>
              <w:top w:w="80" w:type="dxa"/>
              <w:start w:w="120" w:type="dxa"/>
              <w:bottom w:w="80" w:type="dxa"/>
              <w:end w:w="120" w:type="dxa"/>
            </w:tcMar>
          </w:tcPr>
          <w:p>
            <w:pPr>
              <w:spacing w:before="0" w:after="0"/>
              <w:jc w:val="center"/>
            </w:pPr>
            <w:r>
              <w:rPr>
                <w:b/>
                <w:color w:val="102A43"/>
                <w:sz w:val="17"/>
              </w:rPr>
              <w:t>Technology</w:t>
            </w:r>
          </w:p>
        </w:tc>
        <w:tc>
          <w:tcPr>
            <w:tcW w:type="dxa" w:w="4440"/>
            <w:vAlign w:val="center"/>
            <w:shd w:fill="F2F4F7"/>
            <w:tcMar>
              <w:top w:w="80" w:type="dxa"/>
              <w:start w:w="120" w:type="dxa"/>
              <w:bottom w:w="80" w:type="dxa"/>
              <w:end w:w="120" w:type="dxa"/>
            </w:tcMar>
          </w:tcPr>
          <w:p>
            <w:pPr>
              <w:spacing w:before="0" w:after="0"/>
              <w:jc w:val="left"/>
            </w:pPr>
            <w:r>
              <w:rPr>
                <w:b/>
                <w:color w:val="102A43"/>
                <w:sz w:val="17"/>
              </w:rPr>
              <w:t>Rihuum opportunity</w:t>
            </w:r>
          </w:p>
        </w:tc>
        <w:tc>
          <w:tcPr>
            <w:tcW w:type="dxa" w:w="3020"/>
            <w:vAlign w:val="center"/>
            <w:shd w:fill="F2F4F7"/>
            <w:tcMar>
              <w:top w:w="80" w:type="dxa"/>
              <w:start w:w="120" w:type="dxa"/>
              <w:bottom w:w="80" w:type="dxa"/>
              <w:end w:w="120" w:type="dxa"/>
            </w:tcMar>
          </w:tcPr>
          <w:p>
            <w:pPr>
              <w:spacing w:before="0" w:after="0"/>
              <w:jc w:val="center"/>
            </w:pPr>
            <w:r>
              <w:rPr>
                <w:b/>
                <w:color w:val="102A43"/>
                <w:sz w:val="17"/>
              </w:rPr>
              <w:t>2026 posture</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Agentic AI</w:t>
            </w:r>
          </w:p>
        </w:tc>
        <w:tc>
          <w:tcPr>
            <w:tcW w:type="dxa" w:w="4440"/>
            <w:vAlign w:val="center"/>
            <w:tcMar>
              <w:top w:w="80" w:type="dxa"/>
              <w:start w:w="120" w:type="dxa"/>
              <w:bottom w:w="80" w:type="dxa"/>
              <w:end w:w="120" w:type="dxa"/>
            </w:tcMar>
          </w:tcPr>
          <w:p>
            <w:pPr>
              <w:spacing w:before="0" w:after="20" w:line="252" w:lineRule="auto"/>
              <w:jc w:val="left"/>
            </w:pPr>
            <w:r>
              <w:rPr>
                <w:color w:val="1D2733"/>
                <w:sz w:val="16"/>
              </w:rPr>
              <w:t>Knowledge work, service orchestration, operations and domain copilots</w:t>
            </w:r>
          </w:p>
        </w:tc>
        <w:tc>
          <w:tcPr>
            <w:tcW w:type="dxa" w:w="3020"/>
            <w:vAlign w:val="center"/>
            <w:tcMar>
              <w:top w:w="80" w:type="dxa"/>
              <w:start w:w="120" w:type="dxa"/>
              <w:bottom w:w="80" w:type="dxa"/>
              <w:end w:w="120" w:type="dxa"/>
            </w:tcMar>
          </w:tcPr>
          <w:p>
            <w:pPr>
              <w:spacing w:before="0" w:after="20" w:line="252" w:lineRule="auto"/>
              <w:jc w:val="left"/>
            </w:pPr>
            <w:r>
              <w:rPr>
                <w:color w:val="1D2733"/>
                <w:sz w:val="16"/>
              </w:rPr>
              <w:t>Build governed Levels 0-3 first; restricted tools, approvals and evaluation</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Computer vision</w:t>
            </w:r>
          </w:p>
        </w:tc>
        <w:tc>
          <w:tcPr>
            <w:tcW w:type="dxa" w:w="4440"/>
            <w:vAlign w:val="center"/>
            <w:shd w:fill="FAFBFC"/>
            <w:tcMar>
              <w:top w:w="80" w:type="dxa"/>
              <w:start w:w="120" w:type="dxa"/>
              <w:bottom w:w="80" w:type="dxa"/>
              <w:end w:w="120" w:type="dxa"/>
            </w:tcMar>
          </w:tcPr>
          <w:p>
            <w:pPr>
              <w:spacing w:before="0" w:after="20" w:line="252" w:lineRule="auto"/>
              <w:jc w:val="left"/>
            </w:pPr>
            <w:r>
              <w:rPr>
                <w:color w:val="1D2733"/>
                <w:sz w:val="16"/>
              </w:rPr>
              <w:t>Security events, asset/quality observation and hospitality operations</w:t>
            </w:r>
          </w:p>
        </w:tc>
        <w:tc>
          <w:tcPr>
            <w:tcW w:type="dxa" w:w="3020"/>
            <w:vAlign w:val="center"/>
            <w:shd w:fill="FAFBFC"/>
            <w:tcMar>
              <w:top w:w="80" w:type="dxa"/>
              <w:start w:w="120" w:type="dxa"/>
              <w:bottom w:w="80" w:type="dxa"/>
              <w:end w:w="120" w:type="dxa"/>
            </w:tcMar>
          </w:tcPr>
          <w:p>
            <w:pPr>
              <w:spacing w:before="0" w:after="20" w:line="252" w:lineRule="auto"/>
              <w:jc w:val="left"/>
            </w:pPr>
            <w:r>
              <w:rPr>
                <w:color w:val="1D2733"/>
                <w:sz w:val="16"/>
              </w:rPr>
              <w:t>Pilot only with DPIA, lawful signage/use, accuracy and human verification</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IoT and edge</w:t>
            </w:r>
          </w:p>
        </w:tc>
        <w:tc>
          <w:tcPr>
            <w:tcW w:type="dxa" w:w="4440"/>
            <w:vAlign w:val="center"/>
            <w:tcMar>
              <w:top w:w="80" w:type="dxa"/>
              <w:start w:w="120" w:type="dxa"/>
              <w:bottom w:w="80" w:type="dxa"/>
              <w:end w:w="120" w:type="dxa"/>
            </w:tcMar>
          </w:tcPr>
          <w:p>
            <w:pPr>
              <w:spacing w:before="0" w:after="20" w:line="252" w:lineRule="auto"/>
              <w:jc w:val="left"/>
            </w:pPr>
            <w:r>
              <w:rPr>
                <w:color w:val="1D2733"/>
                <w:sz w:val="16"/>
              </w:rPr>
              <w:t>Facilities, agriculture, fleet, energy, cold-chain and asset telemetry</w:t>
            </w:r>
          </w:p>
        </w:tc>
        <w:tc>
          <w:tcPr>
            <w:tcW w:type="dxa" w:w="3020"/>
            <w:vAlign w:val="center"/>
            <w:tcMar>
              <w:top w:w="80" w:type="dxa"/>
              <w:start w:w="120" w:type="dxa"/>
              <w:bottom w:w="80" w:type="dxa"/>
              <w:end w:w="120" w:type="dxa"/>
            </w:tcMar>
          </w:tcPr>
          <w:p>
            <w:pPr>
              <w:spacing w:before="0" w:after="20" w:line="252" w:lineRule="auto"/>
              <w:jc w:val="left"/>
            </w:pPr>
            <w:r>
              <w:rPr>
                <w:color w:val="1D2733"/>
                <w:sz w:val="16"/>
              </w:rPr>
              <w:t>Partner-led pilots with device identity, secure update and offline resilience</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Digital twins</w:t>
            </w:r>
          </w:p>
        </w:tc>
        <w:tc>
          <w:tcPr>
            <w:tcW w:type="dxa" w:w="4440"/>
            <w:vAlign w:val="center"/>
            <w:shd w:fill="FAFBFC"/>
            <w:tcMar>
              <w:top w:w="80" w:type="dxa"/>
              <w:start w:w="120" w:type="dxa"/>
              <w:bottom w:w="80" w:type="dxa"/>
              <w:end w:w="120" w:type="dxa"/>
            </w:tcMar>
          </w:tcPr>
          <w:p>
            <w:pPr>
              <w:spacing w:before="0" w:after="20" w:line="252" w:lineRule="auto"/>
              <w:jc w:val="left"/>
            </w:pPr>
            <w:r>
              <w:rPr>
                <w:color w:val="1D2733"/>
                <w:sz w:val="16"/>
              </w:rPr>
              <w:t>Operational models of sites, assets and processes</w:t>
            </w:r>
          </w:p>
        </w:tc>
        <w:tc>
          <w:tcPr>
            <w:tcW w:type="dxa" w:w="3020"/>
            <w:vAlign w:val="center"/>
            <w:shd w:fill="FAFBFC"/>
            <w:tcMar>
              <w:top w:w="80" w:type="dxa"/>
              <w:start w:w="120" w:type="dxa"/>
              <w:bottom w:w="80" w:type="dxa"/>
              <w:end w:w="120" w:type="dxa"/>
            </w:tcMar>
          </w:tcPr>
          <w:p>
            <w:pPr>
              <w:spacing w:before="0" w:after="20" w:line="252" w:lineRule="auto"/>
              <w:jc w:val="left"/>
            </w:pPr>
            <w:r>
              <w:rPr>
                <w:color w:val="1D2733"/>
                <w:sz w:val="16"/>
              </w:rPr>
              <w:t>Start with data/asset model and dashboards before high-cost simulation</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Predictive analytics</w:t>
            </w:r>
          </w:p>
        </w:tc>
        <w:tc>
          <w:tcPr>
            <w:tcW w:type="dxa" w:w="4440"/>
            <w:vAlign w:val="center"/>
            <w:tcMar>
              <w:top w:w="80" w:type="dxa"/>
              <w:start w:w="120" w:type="dxa"/>
              <w:bottom w:w="80" w:type="dxa"/>
              <w:end w:w="120" w:type="dxa"/>
            </w:tcMar>
          </w:tcPr>
          <w:p>
            <w:pPr>
              <w:spacing w:before="0" w:after="20" w:line="252" w:lineRule="auto"/>
              <w:jc w:val="left"/>
            </w:pPr>
            <w:r>
              <w:rPr>
                <w:color w:val="1D2733"/>
                <w:sz w:val="16"/>
              </w:rPr>
              <w:t>Maintenance, demand, churn, risk and resource planning</w:t>
            </w:r>
          </w:p>
        </w:tc>
        <w:tc>
          <w:tcPr>
            <w:tcW w:type="dxa" w:w="3020"/>
            <w:vAlign w:val="center"/>
            <w:tcMar>
              <w:top w:w="80" w:type="dxa"/>
              <w:start w:w="120" w:type="dxa"/>
              <w:bottom w:w="80" w:type="dxa"/>
              <w:end w:w="120" w:type="dxa"/>
            </w:tcMar>
          </w:tcPr>
          <w:p>
            <w:pPr>
              <w:spacing w:before="0" w:after="20" w:line="252" w:lineRule="auto"/>
              <w:jc w:val="left"/>
            </w:pPr>
            <w:r>
              <w:rPr>
                <w:color w:val="1D2733"/>
                <w:sz w:val="16"/>
              </w:rPr>
              <w:t>Use where reliable labelled history and actionable interventions exist</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Robotics/automation</w:t>
            </w:r>
          </w:p>
        </w:tc>
        <w:tc>
          <w:tcPr>
            <w:tcW w:type="dxa" w:w="4440"/>
            <w:vAlign w:val="center"/>
            <w:shd w:fill="FAFBFC"/>
            <w:tcMar>
              <w:top w:w="80" w:type="dxa"/>
              <w:start w:w="120" w:type="dxa"/>
              <w:bottom w:w="80" w:type="dxa"/>
              <w:end w:w="120" w:type="dxa"/>
            </w:tcMar>
          </w:tcPr>
          <w:p>
            <w:pPr>
              <w:spacing w:before="0" w:after="20" w:line="252" w:lineRule="auto"/>
              <w:jc w:val="left"/>
            </w:pPr>
            <w:r>
              <w:rPr>
                <w:color w:val="1D2733"/>
                <w:sz w:val="16"/>
              </w:rPr>
              <w:t>Inspection, hospitality/service and repetitive physical tasks</w:t>
            </w:r>
          </w:p>
        </w:tc>
        <w:tc>
          <w:tcPr>
            <w:tcW w:type="dxa" w:w="3020"/>
            <w:vAlign w:val="center"/>
            <w:shd w:fill="FAFBFC"/>
            <w:tcMar>
              <w:top w:w="80" w:type="dxa"/>
              <w:start w:w="120" w:type="dxa"/>
              <w:bottom w:w="80" w:type="dxa"/>
              <w:end w:w="120" w:type="dxa"/>
            </w:tcMar>
          </w:tcPr>
          <w:p>
            <w:pPr>
              <w:spacing w:before="0" w:after="20" w:line="252" w:lineRule="auto"/>
              <w:jc w:val="left"/>
            </w:pPr>
            <w:r>
              <w:rPr>
                <w:color w:val="1D2733"/>
                <w:sz w:val="16"/>
              </w:rPr>
              <w:t>Research/partnership; safety and maintenance economics govern adoption</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Blockchain</w:t>
            </w:r>
          </w:p>
        </w:tc>
        <w:tc>
          <w:tcPr>
            <w:tcW w:type="dxa" w:w="4440"/>
            <w:vAlign w:val="center"/>
            <w:tcMar>
              <w:top w:w="80" w:type="dxa"/>
              <w:start w:w="120" w:type="dxa"/>
              <w:bottom w:w="80" w:type="dxa"/>
              <w:end w:w="120" w:type="dxa"/>
            </w:tcMar>
          </w:tcPr>
          <w:p>
            <w:pPr>
              <w:spacing w:before="0" w:after="20" w:line="252" w:lineRule="auto"/>
              <w:jc w:val="left"/>
            </w:pPr>
            <w:r>
              <w:rPr>
                <w:color w:val="1D2733"/>
                <w:sz w:val="16"/>
              </w:rPr>
              <w:t>Multi-party provenance or settlement where no trusted operator is acceptable</w:t>
            </w:r>
          </w:p>
        </w:tc>
        <w:tc>
          <w:tcPr>
            <w:tcW w:type="dxa" w:w="3020"/>
            <w:vAlign w:val="center"/>
            <w:tcMar>
              <w:top w:w="80" w:type="dxa"/>
              <w:start w:w="120" w:type="dxa"/>
              <w:bottom w:w="80" w:type="dxa"/>
              <w:end w:w="120" w:type="dxa"/>
            </w:tcMar>
          </w:tcPr>
          <w:p>
            <w:pPr>
              <w:spacing w:before="0" w:after="20" w:line="252" w:lineRule="auto"/>
              <w:jc w:val="left"/>
            </w:pPr>
            <w:r>
              <w:rPr>
                <w:color w:val="1D2733"/>
                <w:sz w:val="16"/>
              </w:rPr>
              <w:t>Use only after a conventional signed database fails the trust requirement</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Spatial/immersive</w:t>
            </w:r>
          </w:p>
        </w:tc>
        <w:tc>
          <w:tcPr>
            <w:tcW w:type="dxa" w:w="4440"/>
            <w:vAlign w:val="center"/>
            <w:shd w:fill="FAFBFC"/>
            <w:tcMar>
              <w:top w:w="80" w:type="dxa"/>
              <w:start w:w="120" w:type="dxa"/>
              <w:bottom w:w="80" w:type="dxa"/>
              <w:end w:w="120" w:type="dxa"/>
            </w:tcMar>
          </w:tcPr>
          <w:p>
            <w:pPr>
              <w:spacing w:before="0" w:after="20" w:line="252" w:lineRule="auto"/>
              <w:jc w:val="left"/>
            </w:pPr>
            <w:r>
              <w:rPr>
                <w:color w:val="1D2733"/>
                <w:sz w:val="16"/>
              </w:rPr>
              <w:t>Technical training, remote assistance and property/event experiences</w:t>
            </w:r>
          </w:p>
        </w:tc>
        <w:tc>
          <w:tcPr>
            <w:tcW w:type="dxa" w:w="3020"/>
            <w:vAlign w:val="center"/>
            <w:shd w:fill="FAFBFC"/>
            <w:tcMar>
              <w:top w:w="80" w:type="dxa"/>
              <w:start w:w="120" w:type="dxa"/>
              <w:bottom w:w="80" w:type="dxa"/>
              <w:end w:w="120" w:type="dxa"/>
            </w:tcMar>
          </w:tcPr>
          <w:p>
            <w:pPr>
              <w:spacing w:before="0" w:after="20" w:line="252" w:lineRule="auto"/>
              <w:jc w:val="left"/>
            </w:pPr>
            <w:r>
              <w:rPr>
                <w:color w:val="1D2733"/>
                <w:sz w:val="16"/>
              </w:rPr>
              <w:t>Selective prototypes tied to learning or service outcomes</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Privacy-enhancing technology</w:t>
            </w:r>
          </w:p>
        </w:tc>
        <w:tc>
          <w:tcPr>
            <w:tcW w:type="dxa" w:w="4440"/>
            <w:vAlign w:val="center"/>
            <w:tcMar>
              <w:top w:w="80" w:type="dxa"/>
              <w:start w:w="120" w:type="dxa"/>
              <w:bottom w:w="80" w:type="dxa"/>
              <w:end w:w="120" w:type="dxa"/>
            </w:tcMar>
          </w:tcPr>
          <w:p>
            <w:pPr>
              <w:spacing w:before="0" w:after="20" w:line="252" w:lineRule="auto"/>
              <w:jc w:val="left"/>
            </w:pPr>
            <w:r>
              <w:rPr>
                <w:color w:val="1D2733"/>
                <w:sz w:val="16"/>
              </w:rPr>
              <w:t>Secure analytics, data collaboration and minimisation</w:t>
            </w:r>
          </w:p>
        </w:tc>
        <w:tc>
          <w:tcPr>
            <w:tcW w:type="dxa" w:w="3020"/>
            <w:vAlign w:val="center"/>
            <w:tcMar>
              <w:top w:w="80" w:type="dxa"/>
              <w:start w:w="120" w:type="dxa"/>
              <w:bottom w:w="80" w:type="dxa"/>
              <w:end w:w="120" w:type="dxa"/>
            </w:tcMar>
          </w:tcPr>
          <w:p>
            <w:pPr>
              <w:spacing w:before="0" w:after="20" w:line="252" w:lineRule="auto"/>
              <w:jc w:val="left"/>
            </w:pPr>
            <w:r>
              <w:rPr>
                <w:color w:val="1D2733"/>
                <w:sz w:val="16"/>
              </w:rPr>
              <w:t>Evaluate tokenisation, differential privacy or federated methods by use case</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Quantum readiness</w:t>
            </w:r>
          </w:p>
        </w:tc>
        <w:tc>
          <w:tcPr>
            <w:tcW w:type="dxa" w:w="4440"/>
            <w:vAlign w:val="center"/>
            <w:shd w:fill="FAFBFC"/>
            <w:tcMar>
              <w:top w:w="80" w:type="dxa"/>
              <w:start w:w="120" w:type="dxa"/>
              <w:bottom w:w="80" w:type="dxa"/>
              <w:end w:w="120" w:type="dxa"/>
            </w:tcMar>
          </w:tcPr>
          <w:p>
            <w:pPr>
              <w:spacing w:before="0" w:after="20" w:line="252" w:lineRule="auto"/>
              <w:jc w:val="left"/>
            </w:pPr>
            <w:r>
              <w:rPr>
                <w:color w:val="1D2733"/>
                <w:sz w:val="16"/>
              </w:rPr>
              <w:t>Long-lived sensitive data and cryptographic inventory</w:t>
            </w:r>
          </w:p>
        </w:tc>
        <w:tc>
          <w:tcPr>
            <w:tcW w:type="dxa" w:w="3020"/>
            <w:vAlign w:val="center"/>
            <w:shd w:fill="FAFBFC"/>
            <w:tcMar>
              <w:top w:w="80" w:type="dxa"/>
              <w:start w:w="120" w:type="dxa"/>
              <w:bottom w:w="80" w:type="dxa"/>
              <w:end w:w="120" w:type="dxa"/>
            </w:tcMar>
          </w:tcPr>
          <w:p>
            <w:pPr>
              <w:spacing w:before="0" w:after="20" w:line="252" w:lineRule="auto"/>
              <w:jc w:val="left"/>
            </w:pPr>
            <w:r>
              <w:rPr>
                <w:color w:val="1D2733"/>
                <w:sz w:val="16"/>
              </w:rPr>
              <w:t>Maintain crypto inventory; follow standards transition rather than speculative products</w:t>
            </w:r>
          </w:p>
        </w:tc>
      </w:tr>
    </w:tbl>
    <w:p>
      <w:pPr>
        <w:pStyle w:val="Heading2"/>
      </w:pPr>
      <w:r>
        <w:t>Opportunity evaluation scorecard</w:t>
      </w:r>
    </w:p>
    <w:p>
      <w:pPr>
        <w:pStyle w:val="ListBullet"/>
        <w:keepLines/>
      </w:pPr>
      <w:r>
        <w:t>Problem severity, reachable buyer, willingness to pay and existing alternatives.</w:t>
      </w:r>
    </w:p>
    <w:p>
      <w:pPr>
        <w:pStyle w:val="ListBullet"/>
        <w:keepLines/>
      </w:pPr>
      <w:r>
        <w:t>Rihuum right-to-win: relationships, data, workflow knowledge, platform reuse, delivery channel and defensible IP.</w:t>
      </w:r>
    </w:p>
    <w:p>
      <w:pPr>
        <w:pStyle w:val="ListBullet"/>
        <w:keepLines/>
      </w:pPr>
      <w:r>
        <w:t>Technical feasibility, data readiness, infrastructure, skills, vendor dependence and time-to-evidence.</w:t>
      </w:r>
    </w:p>
    <w:p>
      <w:pPr>
        <w:pStyle w:val="ListBullet"/>
        <w:keepLines/>
      </w:pPr>
      <w:r>
        <w:t>Security, privacy, safety, legal, ethical, accessibility and social impacts.</w:t>
      </w:r>
    </w:p>
    <w:p>
      <w:pPr>
        <w:pStyle w:val="ListBullet"/>
        <w:keepLines/>
      </w:pPr>
      <w:r>
        <w:t>Total lifecycle cost, gross-margin path, support/maintenance and exit capability.</w:t>
      </w:r>
    </w:p>
    <w:p>
      <w:pPr>
        <w:pStyle w:val="ListBullet"/>
        <w:keepLines/>
      </w:pPr>
      <w:r>
        <w:t>Experiment design with a stop condition; successful demonstration alone does not equal commercial readiness.</w:t>
      </w:r>
    </w:p>
    <w:p>
      <w:pPr>
        <w:pStyle w:val="Heading2"/>
      </w:pPr>
      <w:r>
        <w:t>Priority market plays</w:t>
      </w:r>
    </w:p>
    <w:p>
      <w:pPr>
        <w:pStyle w:val="ListBullet"/>
        <w:keepLines/>
      </w:pPr>
      <w:r>
        <w:t>SME operating systems: modular CRM, workflow, billing, inventory, people and service management.</w:t>
      </w:r>
    </w:p>
    <w:p>
      <w:pPr>
        <w:pStyle w:val="ListBullet"/>
        <w:keepLines/>
      </w:pPr>
      <w:r>
        <w:t>Public-service and institutional workflow modernisation with local implementation and data-governance capability.</w:t>
      </w:r>
    </w:p>
    <w:p>
      <w:pPr>
        <w:pStyle w:val="ListBullet"/>
        <w:keepLines/>
      </w:pPr>
      <w:r>
        <w:t>Hospitality/property technology combining guest/service workflows, events, access, security, facilities and analytics.</w:t>
      </w:r>
    </w:p>
    <w:p>
      <w:pPr>
        <w:pStyle w:val="ListBullet"/>
        <w:keepLines/>
      </w:pPr>
      <w:r>
        <w:t>Fleet, logistics and field-service intelligence combining telematics, asset, maintenance, proof and billing workflows.</w:t>
      </w:r>
    </w:p>
    <w:p>
      <w:pPr>
        <w:pStyle w:val="ListBullet"/>
        <w:keepLines/>
      </w:pPr>
      <w:r>
        <w:t>AI and cybersecurity readiness for organisations that need practical governance, training, evaluation and implementation.</w:t>
      </w:r>
    </w:p>
    <w:p>
      <w:pPr>
        <w:pStyle w:val="ListBullet"/>
        <w:keepLines/>
      </w:pPr>
      <w:r>
        <w:t>Digital workforce programmes linked to live projects, apprenticeships and employer-measured outcomes.</w:t>
      </w:r>
    </w:p>
    <w:p>
      <w:pPr>
        <w:pStyle w:val="Heading2"/>
      </w:pPr>
      <w:r>
        <w:t>Africa-specific opportunity extensions</w:t>
      </w:r>
    </w:p>
    <w:p>
      <w:pPr>
        <w:pStyle w:val="ListBullet"/>
      </w:pPr>
      <w:r>
        <w:t>Cross-border trade, export readiness and AfCFTA-aligned workflow coordination through licensed and country-validated partners.</w:t>
      </w:r>
    </w:p>
    <w:p>
      <w:pPr>
        <w:pStyle w:val="ListBullet"/>
      </w:pPr>
      <w:r>
        <w:t>Maritime, ports, blue-economy, climate, circular-economy and distributed energy operations where field evidence and asset visibility create measurable value.</w:t>
      </w:r>
    </w:p>
    <w:p>
      <w:pPr>
        <w:pStyle w:val="ListBullet"/>
      </w:pPr>
      <w:r>
        <w:t>Cooperative, association, faith/community, artisan, gig-work and diaspora service models that require affordable membership, commerce, communication and accountable workflows.</w:t>
      </w:r>
    </w:p>
    <w:p>
      <w:pPr>
        <w:pStyle w:val="ListBullet"/>
      </w:pPr>
      <w:r>
        <w:t>Pharmaceutical and medical-supply coordination that complements validated clinical and regulatory systems without unsupported clinical claims.</w:t>
      </w:r>
    </w:p>
    <w:p>
      <w:pPr>
        <w:pStyle w:val="ListBullet"/>
      </w:pPr>
      <w:r>
        <w:t>Low-data, offline-tolerant, accessible and progressively multilingual experiences designed for device, power, connectivity and digital-skills realities.</w:t>
      </w:r>
    </w:p>
    <w:p>
      <w:bookmarkStart w:id="25" w:name="sec25"/>
      <w:pPr>
        <w:pStyle w:val="Heading1"/>
        <w:keepNext/>
        <w:pageBreakBefore/>
      </w:pPr>
      <w:r>
        <w:t>SECTION 25 | Technology Research and Innovation Roadmap</w:t>
      </w:r>
      <w:bookmarkEnd w:id="25"/>
    </w:p>
    <w:p>
      <w:pPr>
        <w:pStyle w:val="LeadCallout"/>
        <w:shd w:fill="F4F6F9"/>
        <w:pBdr>
          <w:left w:val="single" w:sz="18" w:space="8" w:color="C99A2E"/>
        </w:pBdr>
      </w:pPr>
      <w:r>
        <w:rPr>
          <w:b/>
          <w:color w:val="102A43"/>
        </w:rPr>
        <w:t xml:space="preserve">Research model: </w:t>
      </w:r>
      <w:r>
        <w:t>Rihuum's innovation laboratory must turn uncertainty into evidence and reusable knowledge. It is not an unrestricted prototype factory.</w:t>
      </w:r>
    </w:p>
    <w:p>
      <w:pPr>
        <w:pStyle w:val="Heading2"/>
      </w:pPr>
      <w:r>
        <w:t>Innovation funnel</w:t>
      </w:r>
    </w:p>
    <w:p>
      <w:pPr>
        <w:pStyle w:val="Caption"/>
      </w:pPr>
      <w:r>
        <w:t>Table 37. Research and commercialisation stages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300"/>
        <w:gridCol w:w="4700"/>
        <w:gridCol w:w="3360"/>
      </w:tblGrid>
      <w:tr>
        <w:trPr>
          <w:tblHeader w:val="true"/>
          <w:cantSplit/>
        </w:trPr>
        <w:tc>
          <w:tcPr>
            <w:tcW w:type="dxa" w:w="1300"/>
            <w:vAlign w:val="center"/>
            <w:shd w:fill="F2F4F7"/>
            <w:tcMar>
              <w:top w:w="80" w:type="dxa"/>
              <w:start w:w="120" w:type="dxa"/>
              <w:bottom w:w="80" w:type="dxa"/>
              <w:end w:w="120" w:type="dxa"/>
            </w:tcMar>
          </w:tcPr>
          <w:p>
            <w:pPr>
              <w:spacing w:before="0" w:after="0"/>
              <w:jc w:val="center"/>
            </w:pPr>
            <w:r>
              <w:rPr>
                <w:b/>
                <w:color w:val="102A43"/>
                <w:sz w:val="17"/>
              </w:rPr>
              <w:t>Stage</w:t>
            </w:r>
          </w:p>
        </w:tc>
        <w:tc>
          <w:tcPr>
            <w:tcW w:type="dxa" w:w="4700"/>
            <w:vAlign w:val="center"/>
            <w:shd w:fill="F2F4F7"/>
            <w:tcMar>
              <w:top w:w="80" w:type="dxa"/>
              <w:start w:w="120" w:type="dxa"/>
              <w:bottom w:w="80" w:type="dxa"/>
              <w:end w:w="120" w:type="dxa"/>
            </w:tcMar>
          </w:tcPr>
          <w:p>
            <w:pPr>
              <w:spacing w:before="0" w:after="0"/>
              <w:jc w:val="center"/>
            </w:pPr>
            <w:r>
              <w:rPr>
                <w:b/>
                <w:color w:val="102A43"/>
                <w:sz w:val="17"/>
              </w:rPr>
              <w:t>Activity</w:t>
            </w:r>
          </w:p>
        </w:tc>
        <w:tc>
          <w:tcPr>
            <w:tcW w:type="dxa" w:w="3360"/>
            <w:vAlign w:val="center"/>
            <w:shd w:fill="F2F4F7"/>
            <w:tcMar>
              <w:top w:w="80" w:type="dxa"/>
              <w:start w:w="120" w:type="dxa"/>
              <w:bottom w:w="80" w:type="dxa"/>
              <w:end w:w="120" w:type="dxa"/>
            </w:tcMar>
          </w:tcPr>
          <w:p>
            <w:pPr>
              <w:spacing w:before="0" w:after="0"/>
              <w:jc w:val="left"/>
            </w:pPr>
            <w:r>
              <w:rPr>
                <w:b/>
                <w:color w:val="102A43"/>
                <w:sz w:val="17"/>
              </w:rPr>
              <w:t>Decision evidence</w:t>
            </w:r>
          </w:p>
        </w:tc>
      </w:tr>
      <w:tr>
        <w:trPr>
          <w:cantSplit/>
        </w:trPr>
        <w:tc>
          <w:tcPr>
            <w:tcW w:type="dxa" w:w="1300"/>
            <w:vAlign w:val="center"/>
            <w:tcMar>
              <w:top w:w="80" w:type="dxa"/>
              <w:start w:w="120" w:type="dxa"/>
              <w:bottom w:w="80" w:type="dxa"/>
              <w:end w:w="120" w:type="dxa"/>
            </w:tcMar>
          </w:tcPr>
          <w:p>
            <w:pPr>
              <w:spacing w:before="0" w:after="20" w:line="252" w:lineRule="auto"/>
              <w:jc w:val="left"/>
            </w:pPr>
            <w:r>
              <w:rPr>
                <w:color w:val="1D2733"/>
                <w:sz w:val="16"/>
              </w:rPr>
              <w:t>Scan</w:t>
            </w:r>
          </w:p>
        </w:tc>
        <w:tc>
          <w:tcPr>
            <w:tcW w:type="dxa" w:w="4700"/>
            <w:vAlign w:val="center"/>
            <w:tcMar>
              <w:top w:w="80" w:type="dxa"/>
              <w:start w:w="120" w:type="dxa"/>
              <w:bottom w:w="80" w:type="dxa"/>
              <w:end w:w="120" w:type="dxa"/>
            </w:tcMar>
          </w:tcPr>
          <w:p>
            <w:pPr>
              <w:spacing w:before="0" w:after="20" w:line="252" w:lineRule="auto"/>
              <w:jc w:val="left"/>
            </w:pPr>
            <w:r>
              <w:rPr>
                <w:color w:val="1D2733"/>
                <w:sz w:val="16"/>
              </w:rPr>
              <w:t>Market, customer, regulatory, research, vendor and competitor signals</w:t>
            </w:r>
          </w:p>
        </w:tc>
        <w:tc>
          <w:tcPr>
            <w:tcW w:type="dxa" w:w="3360"/>
            <w:vAlign w:val="center"/>
            <w:tcMar>
              <w:top w:w="80" w:type="dxa"/>
              <w:start w:w="120" w:type="dxa"/>
              <w:bottom w:w="80" w:type="dxa"/>
              <w:end w:w="120" w:type="dxa"/>
            </w:tcMar>
          </w:tcPr>
          <w:p>
            <w:pPr>
              <w:spacing w:before="0" w:after="20" w:line="252" w:lineRule="auto"/>
              <w:jc w:val="left"/>
            </w:pPr>
            <w:r>
              <w:rPr>
                <w:color w:val="1D2733"/>
                <w:sz w:val="16"/>
              </w:rPr>
              <w:t>Opportunity thesis and strategic relevance</w:t>
            </w:r>
          </w:p>
        </w:tc>
      </w:tr>
      <w:tr>
        <w:trPr>
          <w:cantSplit/>
        </w:trPr>
        <w:tc>
          <w:tcPr>
            <w:tcW w:type="dxa" w:w="1300"/>
            <w:vAlign w:val="center"/>
            <w:shd w:fill="FAFBFC"/>
            <w:tcMar>
              <w:top w:w="80" w:type="dxa"/>
              <w:start w:w="120" w:type="dxa"/>
              <w:bottom w:w="80" w:type="dxa"/>
              <w:end w:w="120" w:type="dxa"/>
            </w:tcMar>
          </w:tcPr>
          <w:p>
            <w:pPr>
              <w:spacing w:before="0" w:after="20" w:line="252" w:lineRule="auto"/>
              <w:jc w:val="left"/>
            </w:pPr>
            <w:r>
              <w:rPr>
                <w:color w:val="1D2733"/>
                <w:sz w:val="16"/>
              </w:rPr>
              <w:t>Frame</w:t>
            </w:r>
          </w:p>
        </w:tc>
        <w:tc>
          <w:tcPr>
            <w:tcW w:type="dxa" w:w="4700"/>
            <w:vAlign w:val="center"/>
            <w:shd w:fill="FAFBFC"/>
            <w:tcMar>
              <w:top w:w="80" w:type="dxa"/>
              <w:start w:w="120" w:type="dxa"/>
              <w:bottom w:w="80" w:type="dxa"/>
              <w:end w:w="120" w:type="dxa"/>
            </w:tcMar>
          </w:tcPr>
          <w:p>
            <w:pPr>
              <w:spacing w:before="0" w:after="20" w:line="252" w:lineRule="auto"/>
              <w:jc w:val="left"/>
            </w:pPr>
            <w:r>
              <w:rPr>
                <w:color w:val="1D2733"/>
                <w:sz w:val="16"/>
              </w:rPr>
              <w:t>Problem, user, current alternatives, value, risk and learning question</w:t>
            </w:r>
          </w:p>
        </w:tc>
        <w:tc>
          <w:tcPr>
            <w:tcW w:type="dxa" w:w="3360"/>
            <w:vAlign w:val="center"/>
            <w:shd w:fill="FAFBFC"/>
            <w:tcMar>
              <w:top w:w="80" w:type="dxa"/>
              <w:start w:w="120" w:type="dxa"/>
              <w:bottom w:w="80" w:type="dxa"/>
              <w:end w:w="120" w:type="dxa"/>
            </w:tcMar>
          </w:tcPr>
          <w:p>
            <w:pPr>
              <w:spacing w:before="0" w:after="20" w:line="252" w:lineRule="auto"/>
              <w:jc w:val="left"/>
            </w:pPr>
            <w:r>
              <w:rPr>
                <w:color w:val="1D2733"/>
                <w:sz w:val="16"/>
              </w:rPr>
              <w:t>Testable hypothesis and owner</w:t>
            </w:r>
          </w:p>
        </w:tc>
      </w:tr>
      <w:tr>
        <w:trPr>
          <w:cantSplit/>
        </w:trPr>
        <w:tc>
          <w:tcPr>
            <w:tcW w:type="dxa" w:w="1300"/>
            <w:vAlign w:val="center"/>
            <w:tcMar>
              <w:top w:w="80" w:type="dxa"/>
              <w:start w:w="120" w:type="dxa"/>
              <w:bottom w:w="80" w:type="dxa"/>
              <w:end w:w="120" w:type="dxa"/>
            </w:tcMar>
          </w:tcPr>
          <w:p>
            <w:pPr>
              <w:spacing w:before="0" w:after="20" w:line="252" w:lineRule="auto"/>
              <w:jc w:val="left"/>
            </w:pPr>
            <w:r>
              <w:rPr>
                <w:color w:val="1D2733"/>
                <w:sz w:val="16"/>
              </w:rPr>
              <w:t>Experiment</w:t>
            </w:r>
          </w:p>
        </w:tc>
        <w:tc>
          <w:tcPr>
            <w:tcW w:type="dxa" w:w="4700"/>
            <w:vAlign w:val="center"/>
            <w:tcMar>
              <w:top w:w="80" w:type="dxa"/>
              <w:start w:w="120" w:type="dxa"/>
              <w:bottom w:w="80" w:type="dxa"/>
              <w:end w:w="120" w:type="dxa"/>
            </w:tcMar>
          </w:tcPr>
          <w:p>
            <w:pPr>
              <w:spacing w:before="0" w:after="20" w:line="252" w:lineRule="auto"/>
              <w:jc w:val="left"/>
            </w:pPr>
            <w:r>
              <w:rPr>
                <w:color w:val="1D2733"/>
                <w:sz w:val="16"/>
              </w:rPr>
              <w:t>Smallest safe prototype, data study or service trial</w:t>
            </w:r>
          </w:p>
        </w:tc>
        <w:tc>
          <w:tcPr>
            <w:tcW w:type="dxa" w:w="3360"/>
            <w:vAlign w:val="center"/>
            <w:tcMar>
              <w:top w:w="80" w:type="dxa"/>
              <w:start w:w="120" w:type="dxa"/>
              <w:bottom w:w="80" w:type="dxa"/>
              <w:end w:w="120" w:type="dxa"/>
            </w:tcMar>
          </w:tcPr>
          <w:p>
            <w:pPr>
              <w:spacing w:before="0" w:after="20" w:line="252" w:lineRule="auto"/>
              <w:jc w:val="left"/>
            </w:pPr>
            <w:r>
              <w:rPr>
                <w:color w:val="1D2733"/>
                <w:sz w:val="16"/>
              </w:rPr>
              <w:t>Recorded method, result, limitations and next decision</w:t>
            </w:r>
          </w:p>
        </w:tc>
      </w:tr>
      <w:tr>
        <w:trPr>
          <w:cantSplit/>
        </w:trPr>
        <w:tc>
          <w:tcPr>
            <w:tcW w:type="dxa" w:w="1300"/>
            <w:vAlign w:val="center"/>
            <w:shd w:fill="FAFBFC"/>
            <w:tcMar>
              <w:top w:w="80" w:type="dxa"/>
              <w:start w:w="120" w:type="dxa"/>
              <w:bottom w:w="80" w:type="dxa"/>
              <w:end w:w="120" w:type="dxa"/>
            </w:tcMar>
          </w:tcPr>
          <w:p>
            <w:pPr>
              <w:spacing w:before="0" w:after="20" w:line="252" w:lineRule="auto"/>
              <w:jc w:val="left"/>
            </w:pPr>
            <w:r>
              <w:rPr>
                <w:color w:val="1D2733"/>
                <w:sz w:val="16"/>
              </w:rPr>
              <w:t>Validate</w:t>
            </w:r>
          </w:p>
        </w:tc>
        <w:tc>
          <w:tcPr>
            <w:tcW w:type="dxa" w:w="4700"/>
            <w:vAlign w:val="center"/>
            <w:shd w:fill="FAFBFC"/>
            <w:tcMar>
              <w:top w:w="80" w:type="dxa"/>
              <w:start w:w="120" w:type="dxa"/>
              <w:bottom w:w="80" w:type="dxa"/>
              <w:end w:w="120" w:type="dxa"/>
            </w:tcMar>
          </w:tcPr>
          <w:p>
            <w:pPr>
              <w:spacing w:before="0" w:after="20" w:line="252" w:lineRule="auto"/>
              <w:jc w:val="left"/>
            </w:pPr>
            <w:r>
              <w:rPr>
                <w:color w:val="1D2733"/>
                <w:sz w:val="16"/>
              </w:rPr>
              <w:t>Customer desirability, technical feasibility, trust and commercial evidence</w:t>
            </w:r>
          </w:p>
        </w:tc>
        <w:tc>
          <w:tcPr>
            <w:tcW w:type="dxa" w:w="3360"/>
            <w:vAlign w:val="center"/>
            <w:shd w:fill="FAFBFC"/>
            <w:tcMar>
              <w:top w:w="80" w:type="dxa"/>
              <w:start w:w="120" w:type="dxa"/>
              <w:bottom w:w="80" w:type="dxa"/>
              <w:end w:w="120" w:type="dxa"/>
            </w:tcMar>
          </w:tcPr>
          <w:p>
            <w:pPr>
              <w:spacing w:before="0" w:after="20" w:line="252" w:lineRule="auto"/>
              <w:jc w:val="left"/>
            </w:pPr>
            <w:r>
              <w:rPr>
                <w:color w:val="1D2733"/>
                <w:sz w:val="16"/>
              </w:rPr>
              <w:t>Pilot design and investment case</w:t>
            </w:r>
          </w:p>
        </w:tc>
      </w:tr>
      <w:tr>
        <w:trPr>
          <w:cantSplit/>
        </w:trPr>
        <w:tc>
          <w:tcPr>
            <w:tcW w:type="dxa" w:w="1300"/>
            <w:vAlign w:val="center"/>
            <w:tcMar>
              <w:top w:w="80" w:type="dxa"/>
              <w:start w:w="120" w:type="dxa"/>
              <w:bottom w:w="80" w:type="dxa"/>
              <w:end w:w="120" w:type="dxa"/>
            </w:tcMar>
          </w:tcPr>
          <w:p>
            <w:pPr>
              <w:spacing w:before="0" w:after="20" w:line="252" w:lineRule="auto"/>
              <w:jc w:val="left"/>
            </w:pPr>
            <w:r>
              <w:rPr>
                <w:color w:val="1D2733"/>
                <w:sz w:val="16"/>
              </w:rPr>
              <w:t>Incubate</w:t>
            </w:r>
          </w:p>
        </w:tc>
        <w:tc>
          <w:tcPr>
            <w:tcW w:type="dxa" w:w="4700"/>
            <w:vAlign w:val="center"/>
            <w:tcMar>
              <w:top w:w="80" w:type="dxa"/>
              <w:start w:w="120" w:type="dxa"/>
              <w:bottom w:w="80" w:type="dxa"/>
              <w:end w:w="120" w:type="dxa"/>
            </w:tcMar>
          </w:tcPr>
          <w:p>
            <w:pPr>
              <w:spacing w:before="0" w:after="20" w:line="252" w:lineRule="auto"/>
              <w:jc w:val="left"/>
            </w:pPr>
            <w:r>
              <w:rPr>
                <w:color w:val="1D2733"/>
                <w:sz w:val="16"/>
              </w:rPr>
              <w:t>Controlled product/service with operating, IP and support model</w:t>
            </w:r>
          </w:p>
        </w:tc>
        <w:tc>
          <w:tcPr>
            <w:tcW w:type="dxa" w:w="3360"/>
            <w:vAlign w:val="center"/>
            <w:tcMar>
              <w:top w:w="80" w:type="dxa"/>
              <w:start w:w="120" w:type="dxa"/>
              <w:bottom w:w="80" w:type="dxa"/>
              <w:end w:w="120" w:type="dxa"/>
            </w:tcMar>
          </w:tcPr>
          <w:p>
            <w:pPr>
              <w:spacing w:before="0" w:after="20" w:line="252" w:lineRule="auto"/>
              <w:jc w:val="left"/>
            </w:pPr>
            <w:r>
              <w:rPr>
                <w:color w:val="1D2733"/>
                <w:sz w:val="16"/>
              </w:rPr>
              <w:t>Paid pilot and gate metrics</w:t>
            </w:r>
          </w:p>
        </w:tc>
      </w:tr>
      <w:tr>
        <w:trPr>
          <w:cantSplit/>
        </w:trPr>
        <w:tc>
          <w:tcPr>
            <w:tcW w:type="dxa" w:w="1300"/>
            <w:vAlign w:val="center"/>
            <w:shd w:fill="FAFBFC"/>
            <w:tcMar>
              <w:top w:w="80" w:type="dxa"/>
              <w:start w:w="120" w:type="dxa"/>
              <w:bottom w:w="80" w:type="dxa"/>
              <w:end w:w="120" w:type="dxa"/>
            </w:tcMar>
          </w:tcPr>
          <w:p>
            <w:pPr>
              <w:spacing w:before="0" w:after="20" w:line="252" w:lineRule="auto"/>
              <w:jc w:val="left"/>
            </w:pPr>
            <w:r>
              <w:rPr>
                <w:color w:val="1D2733"/>
                <w:sz w:val="16"/>
              </w:rPr>
              <w:t>Commercialise</w:t>
            </w:r>
          </w:p>
        </w:tc>
        <w:tc>
          <w:tcPr>
            <w:tcW w:type="dxa" w:w="4700"/>
            <w:vAlign w:val="center"/>
            <w:shd w:fill="FAFBFC"/>
            <w:tcMar>
              <w:top w:w="80" w:type="dxa"/>
              <w:start w:w="120" w:type="dxa"/>
              <w:bottom w:w="80" w:type="dxa"/>
              <w:end w:w="120" w:type="dxa"/>
            </w:tcMar>
          </w:tcPr>
          <w:p>
            <w:pPr>
              <w:spacing w:before="0" w:after="20" w:line="252" w:lineRule="auto"/>
              <w:jc w:val="left"/>
            </w:pPr>
            <w:r>
              <w:rPr>
                <w:color w:val="1D2733"/>
                <w:sz w:val="16"/>
              </w:rPr>
              <w:t>Packaging, channel, delivery, governance and scale</w:t>
            </w:r>
          </w:p>
        </w:tc>
        <w:tc>
          <w:tcPr>
            <w:tcW w:type="dxa" w:w="3360"/>
            <w:vAlign w:val="center"/>
            <w:shd w:fill="FAFBFC"/>
            <w:tcMar>
              <w:top w:w="80" w:type="dxa"/>
              <w:start w:w="120" w:type="dxa"/>
              <w:bottom w:w="80" w:type="dxa"/>
              <w:end w:w="120" w:type="dxa"/>
            </w:tcMar>
          </w:tcPr>
          <w:p>
            <w:pPr>
              <w:spacing w:before="0" w:after="20" w:line="252" w:lineRule="auto"/>
              <w:jc w:val="left"/>
            </w:pPr>
            <w:r>
              <w:rPr>
                <w:color w:val="1D2733"/>
                <w:sz w:val="16"/>
              </w:rPr>
              <w:t>Repeatability, unit economics and portfolio approval</w:t>
            </w:r>
          </w:p>
        </w:tc>
      </w:tr>
      <w:tr>
        <w:trPr>
          <w:cantSplit/>
        </w:trPr>
        <w:tc>
          <w:tcPr>
            <w:tcW w:type="dxa" w:w="1300"/>
            <w:vAlign w:val="center"/>
            <w:tcMar>
              <w:top w:w="80" w:type="dxa"/>
              <w:start w:w="120" w:type="dxa"/>
              <w:bottom w:w="80" w:type="dxa"/>
              <w:end w:w="120" w:type="dxa"/>
            </w:tcMar>
          </w:tcPr>
          <w:p>
            <w:pPr>
              <w:spacing w:before="0" w:after="20" w:line="252" w:lineRule="auto"/>
              <w:jc w:val="left"/>
            </w:pPr>
            <w:r>
              <w:rPr>
                <w:color w:val="1D2733"/>
                <w:sz w:val="16"/>
              </w:rPr>
              <w:t>Transfer/stop</w:t>
            </w:r>
          </w:p>
        </w:tc>
        <w:tc>
          <w:tcPr>
            <w:tcW w:type="dxa" w:w="4700"/>
            <w:vAlign w:val="center"/>
            <w:tcMar>
              <w:top w:w="80" w:type="dxa"/>
              <w:start w:w="120" w:type="dxa"/>
              <w:bottom w:w="80" w:type="dxa"/>
              <w:end w:w="120" w:type="dxa"/>
            </w:tcMar>
          </w:tcPr>
          <w:p>
            <w:pPr>
              <w:spacing w:before="0" w:after="20" w:line="252" w:lineRule="auto"/>
              <w:jc w:val="left"/>
            </w:pPr>
            <w:r>
              <w:rPr>
                <w:color w:val="1D2733"/>
                <w:sz w:val="16"/>
              </w:rPr>
              <w:t>Move to product team, license/partner, publish learning or close</w:t>
            </w:r>
          </w:p>
        </w:tc>
        <w:tc>
          <w:tcPr>
            <w:tcW w:type="dxa" w:w="3360"/>
            <w:vAlign w:val="center"/>
            <w:tcMar>
              <w:top w:w="80" w:type="dxa"/>
              <w:start w:w="120" w:type="dxa"/>
              <w:bottom w:w="80" w:type="dxa"/>
              <w:end w:w="120" w:type="dxa"/>
            </w:tcMar>
          </w:tcPr>
          <w:p>
            <w:pPr>
              <w:spacing w:before="0" w:after="20" w:line="252" w:lineRule="auto"/>
              <w:jc w:val="left"/>
            </w:pPr>
            <w:r>
              <w:rPr>
                <w:color w:val="1D2733"/>
                <w:sz w:val="16"/>
              </w:rPr>
              <w:t>IP/knowledge record and resources released</w:t>
            </w:r>
          </w:p>
        </w:tc>
      </w:tr>
    </w:tbl>
    <w:p>
      <w:pPr>
        <w:pStyle w:val="Heading2"/>
      </w:pPr>
      <w:r>
        <w:t>Research themes by horizon</w:t>
      </w:r>
    </w:p>
    <w:p>
      <w:pPr>
        <w:pStyle w:val="ListBullet"/>
        <w:keepLines/>
      </w:pPr>
      <w:r>
        <w:rPr>
          <w:b/>
        </w:rPr>
        <w:t xml:space="preserve">0-12 months: </w:t>
      </w:r>
      <w:r>
        <w:t>RME shared core and contracts; RME-powered Rihuum OS thin slices; RIA governance; Nigerian SME workflows; Academy outcomes; shared-hosting portability; security and data baselines.</w:t>
      </w:r>
    </w:p>
    <w:p>
      <w:pPr>
        <w:pStyle w:val="ListBullet"/>
        <w:keepLines/>
      </w:pPr>
      <w:r>
        <w:rPr>
          <w:b/>
        </w:rPr>
        <w:t xml:space="preserve">12-36 months: </w:t>
      </w:r>
      <w:r>
        <w:t>Sector modules; multilingual/local knowledge; edge/IoT operations; private AI; advanced analytics; partner APIs and marketplace controls.</w:t>
      </w:r>
    </w:p>
    <w:p>
      <w:pPr>
        <w:pStyle w:val="ListBullet"/>
        <w:keepLines/>
      </w:pPr>
      <w:r>
        <w:rPr>
          <w:b/>
        </w:rPr>
        <w:t xml:space="preserve">3-5 years: </w:t>
      </w:r>
      <w:r>
        <w:t>Digital twins, regional data collaboration, robotics partnerships, smart-city components and African domain datasets/models where lawful and sustainable.</w:t>
      </w:r>
    </w:p>
    <w:p>
      <w:pPr>
        <w:pStyle w:val="ListBullet"/>
        <w:keepLines/>
      </w:pPr>
      <w:r>
        <w:rPr>
          <w:b/>
        </w:rPr>
        <w:t xml:space="preserve">5-10+ years: </w:t>
      </w:r>
      <w:r>
        <w:t>New human-computer interaction, resilient distributed infrastructure, frontier AI governance and post-quantum transition according to mature standards and market need.</w:t>
      </w:r>
    </w:p>
    <w:p>
      <w:pPr>
        <w:pStyle w:val="Heading2"/>
      </w:pPr>
      <w:r>
        <w:t>Research governance</w:t>
      </w:r>
    </w:p>
    <w:p>
      <w:pPr>
        <w:pStyle w:val="ListBullet"/>
        <w:keepLines/>
      </w:pPr>
      <w:r>
        <w:t>Maintain an experiment register with hypothesis, owner, budget, data, risk, method, result, artefacts, IP and decision.</w:t>
      </w:r>
    </w:p>
    <w:p>
      <w:pPr>
        <w:pStyle w:val="ListBullet"/>
        <w:keepLines/>
      </w:pPr>
      <w:r>
        <w:t>Use synthetic or governed data; experiments never bypass privacy, security or client commitments.</w:t>
      </w:r>
    </w:p>
    <w:p>
      <w:pPr>
        <w:pStyle w:val="ListBullet"/>
        <w:keepLines/>
      </w:pPr>
      <w:r>
        <w:t>Review third-party licences before code, models or data enter a commercial product.</w:t>
      </w:r>
    </w:p>
    <w:p>
      <w:pPr>
        <w:pStyle w:val="ListBullet"/>
        <w:keepLines/>
      </w:pPr>
      <w:r>
        <w:t>Fund explicit, revisable innovation capacity without weakening reliability or client commitments; publish selected work only after legal, security, confidentiality and claims review.</w:t>
      </w:r>
    </w:p>
    <w:p>
      <w:bookmarkStart w:id="26" w:name="sec26"/>
      <w:pPr>
        <w:pStyle w:val="Heading1"/>
        <w:keepNext/>
        <w:pageBreakBefore/>
      </w:pPr>
      <w:r>
        <w:t>SECTION 26 | Market Expansion and Commercialisation Strategy</w:t>
      </w:r>
      <w:bookmarkEnd w:id="26"/>
    </w:p>
    <w:p>
      <w:pPr>
        <w:pStyle w:val="LeadCallout"/>
        <w:shd w:fill="F4F6F9"/>
        <w:pBdr>
          <w:left w:val="single" w:sz="18" w:space="8" w:color="C99A2E"/>
        </w:pBdr>
      </w:pPr>
      <w:r>
        <w:rPr>
          <w:b/>
          <w:color w:val="102A43"/>
        </w:rPr>
        <w:t xml:space="preserve">Expansion principle: </w:t>
      </w:r>
      <w:r>
        <w:t>Expand a repeatable offer, not organisational complexity. A new market requires customer evidence, delivery capacity, legal/tax/data readiness, partner due diligence and a funded support model.</w:t>
      </w:r>
    </w:p>
    <w:p>
      <w:pPr>
        <w:pStyle w:val="Heading2"/>
      </w:pPr>
      <w:r>
        <w:t>Phased market path</w:t>
      </w:r>
    </w:p>
    <w:p>
      <w:pPr>
        <w:pStyle w:val="Caption"/>
      </w:pPr>
      <w:r>
        <w:t>Table 38. Market expansion sequence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700"/>
        <w:gridCol w:w="2510"/>
        <w:gridCol w:w="3100"/>
        <w:gridCol w:w="2050"/>
      </w:tblGrid>
      <w:tr>
        <w:trPr>
          <w:tblHeader w:val="true"/>
          <w:cantSplit/>
        </w:trPr>
        <w:tc>
          <w:tcPr>
            <w:tcW w:type="dxa" w:w="1700"/>
            <w:vAlign w:val="center"/>
            <w:shd w:fill="F2F4F7"/>
            <w:tcMar>
              <w:top w:w="80" w:type="dxa"/>
              <w:start w:w="120" w:type="dxa"/>
              <w:bottom w:w="80" w:type="dxa"/>
              <w:end w:w="120" w:type="dxa"/>
            </w:tcMar>
          </w:tcPr>
          <w:p>
            <w:pPr>
              <w:spacing w:before="0" w:after="0"/>
              <w:jc w:val="center"/>
            </w:pPr>
            <w:r>
              <w:rPr>
                <w:b/>
                <w:color w:val="102A43"/>
                <w:sz w:val="17"/>
              </w:rPr>
              <w:t>Phase</w:t>
            </w:r>
          </w:p>
        </w:tc>
        <w:tc>
          <w:tcPr>
            <w:tcW w:type="dxa" w:w="2510"/>
            <w:vAlign w:val="center"/>
            <w:shd w:fill="F2F4F7"/>
            <w:tcMar>
              <w:top w:w="80" w:type="dxa"/>
              <w:start w:w="120" w:type="dxa"/>
              <w:bottom w:w="80" w:type="dxa"/>
              <w:end w:w="120" w:type="dxa"/>
            </w:tcMar>
          </w:tcPr>
          <w:p>
            <w:pPr>
              <w:spacing w:before="0" w:after="0"/>
              <w:jc w:val="center"/>
            </w:pPr>
            <w:r>
              <w:rPr>
                <w:b/>
                <w:color w:val="102A43"/>
                <w:sz w:val="17"/>
              </w:rPr>
              <w:t>Market focus</w:t>
            </w:r>
          </w:p>
        </w:tc>
        <w:tc>
          <w:tcPr>
            <w:tcW w:type="dxa" w:w="3100"/>
            <w:vAlign w:val="center"/>
            <w:shd w:fill="F2F4F7"/>
            <w:tcMar>
              <w:top w:w="80" w:type="dxa"/>
              <w:start w:w="120" w:type="dxa"/>
              <w:bottom w:w="80" w:type="dxa"/>
              <w:end w:w="120" w:type="dxa"/>
            </w:tcMar>
          </w:tcPr>
          <w:p>
            <w:pPr>
              <w:spacing w:before="0" w:after="0"/>
              <w:jc w:val="center"/>
            </w:pPr>
            <w:r>
              <w:rPr>
                <w:b/>
                <w:color w:val="102A43"/>
                <w:sz w:val="17"/>
              </w:rPr>
              <w:t>Entry method</w:t>
            </w:r>
          </w:p>
        </w:tc>
        <w:tc>
          <w:tcPr>
            <w:tcW w:type="dxa" w:w="2050"/>
            <w:vAlign w:val="center"/>
            <w:shd w:fill="F2F4F7"/>
            <w:tcMar>
              <w:top w:w="80" w:type="dxa"/>
              <w:start w:w="120" w:type="dxa"/>
              <w:bottom w:w="80" w:type="dxa"/>
              <w:end w:w="120" w:type="dxa"/>
            </w:tcMar>
          </w:tcPr>
          <w:p>
            <w:pPr>
              <w:spacing w:before="0" w:after="0"/>
              <w:jc w:val="center"/>
            </w:pPr>
            <w:r>
              <w:rPr>
                <w:b/>
                <w:color w:val="102A43"/>
                <w:sz w:val="17"/>
              </w:rPr>
              <w:t>Readiness gate</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6"/>
              </w:rPr>
              <w:t>1 - Nigeria reference base</w:t>
            </w:r>
          </w:p>
        </w:tc>
        <w:tc>
          <w:tcPr>
            <w:tcW w:type="dxa" w:w="2510"/>
            <w:vAlign w:val="center"/>
            <w:tcMar>
              <w:top w:w="80" w:type="dxa"/>
              <w:start w:w="120" w:type="dxa"/>
              <w:bottom w:w="80" w:type="dxa"/>
              <w:end w:w="120" w:type="dxa"/>
            </w:tcMar>
          </w:tcPr>
          <w:p>
            <w:pPr>
              <w:spacing w:before="0" w:after="20" w:line="252" w:lineRule="auto"/>
              <w:jc w:val="left"/>
            </w:pPr>
            <w:r>
              <w:rPr>
                <w:color w:val="1D2733"/>
                <w:sz w:val="16"/>
              </w:rPr>
              <w:t>Priority sectors and cities with reachable buyers</w:t>
            </w:r>
          </w:p>
        </w:tc>
        <w:tc>
          <w:tcPr>
            <w:tcW w:type="dxa" w:w="3100"/>
            <w:vAlign w:val="center"/>
            <w:tcMar>
              <w:top w:w="80" w:type="dxa"/>
              <w:start w:w="120" w:type="dxa"/>
              <w:bottom w:w="80" w:type="dxa"/>
              <w:end w:w="120" w:type="dxa"/>
            </w:tcMar>
          </w:tcPr>
          <w:p>
            <w:pPr>
              <w:spacing w:before="0" w:after="20" w:line="252" w:lineRule="auto"/>
              <w:jc w:val="left"/>
            </w:pPr>
            <w:r>
              <w:rPr>
                <w:color w:val="1D2733"/>
                <w:sz w:val="16"/>
              </w:rPr>
              <w:t>Direct sales, founder/executive networks, partnerships and paid lighthouse pilots</w:t>
            </w:r>
          </w:p>
        </w:tc>
        <w:tc>
          <w:tcPr>
            <w:tcW w:type="dxa" w:w="2050"/>
            <w:vAlign w:val="center"/>
            <w:tcMar>
              <w:top w:w="80" w:type="dxa"/>
              <w:start w:w="120" w:type="dxa"/>
              <w:bottom w:w="80" w:type="dxa"/>
              <w:end w:w="120" w:type="dxa"/>
            </w:tcMar>
          </w:tcPr>
          <w:p>
            <w:pPr>
              <w:spacing w:before="0" w:after="20" w:line="252" w:lineRule="auto"/>
              <w:jc w:val="left"/>
            </w:pPr>
            <w:r>
              <w:rPr>
                <w:color w:val="1D2733"/>
                <w:sz w:val="16"/>
              </w:rPr>
              <w:t>Repeatable implementation, reference clients and controlled service quality</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6"/>
              </w:rPr>
              <w:t>2 - West African corridor</w:t>
            </w:r>
          </w:p>
        </w:tc>
        <w:tc>
          <w:tcPr>
            <w:tcW w:type="dxa" w:w="2510"/>
            <w:vAlign w:val="center"/>
            <w:shd w:fill="FAFBFC"/>
            <w:tcMar>
              <w:top w:w="80" w:type="dxa"/>
              <w:start w:w="120" w:type="dxa"/>
              <w:bottom w:w="80" w:type="dxa"/>
              <w:end w:w="120" w:type="dxa"/>
            </w:tcMar>
          </w:tcPr>
          <w:p>
            <w:pPr>
              <w:spacing w:before="0" w:after="20" w:line="252" w:lineRule="auto"/>
              <w:jc w:val="left"/>
            </w:pPr>
            <w:r>
              <w:rPr>
                <w:color w:val="1D2733"/>
                <w:sz w:val="16"/>
              </w:rPr>
              <w:t>Selected English/French markets after research</w:t>
            </w:r>
          </w:p>
        </w:tc>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6"/>
              </w:rPr>
              <w:t>Local delivery/reseller partners and regional enterprise relationships</w:t>
            </w:r>
          </w:p>
        </w:tc>
        <w:tc>
          <w:tcPr>
            <w:tcW w:type="dxa" w:w="2050"/>
            <w:vAlign w:val="center"/>
            <w:shd w:fill="FAFBFC"/>
            <w:tcMar>
              <w:top w:w="80" w:type="dxa"/>
              <w:start w:w="120" w:type="dxa"/>
              <w:bottom w:w="80" w:type="dxa"/>
              <w:end w:w="120" w:type="dxa"/>
            </w:tcMar>
          </w:tcPr>
          <w:p>
            <w:pPr>
              <w:spacing w:before="0" w:after="20" w:line="252" w:lineRule="auto"/>
              <w:jc w:val="left"/>
            </w:pPr>
            <w:r>
              <w:rPr>
                <w:color w:val="1D2733"/>
                <w:sz w:val="16"/>
              </w:rPr>
              <w:t>Localisation, legal/tax/data assessment, partner enablement and support</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6"/>
              </w:rPr>
              <w:t>3 - Pan-African sectors</w:t>
            </w:r>
          </w:p>
        </w:tc>
        <w:tc>
          <w:tcPr>
            <w:tcW w:type="dxa" w:w="2510"/>
            <w:vAlign w:val="center"/>
            <w:tcMar>
              <w:top w:w="80" w:type="dxa"/>
              <w:start w:w="120" w:type="dxa"/>
              <w:bottom w:w="80" w:type="dxa"/>
              <w:end w:w="120" w:type="dxa"/>
            </w:tcMar>
          </w:tcPr>
          <w:p>
            <w:pPr>
              <w:spacing w:before="0" w:after="20" w:line="252" w:lineRule="auto"/>
              <w:jc w:val="left"/>
            </w:pPr>
            <w:r>
              <w:rPr>
                <w:color w:val="1D2733"/>
                <w:sz w:val="16"/>
              </w:rPr>
              <w:t>Countries where a proven vertical solves a common problem</w:t>
            </w:r>
          </w:p>
        </w:tc>
        <w:tc>
          <w:tcPr>
            <w:tcW w:type="dxa" w:w="3100"/>
            <w:vAlign w:val="center"/>
            <w:tcMar>
              <w:top w:w="80" w:type="dxa"/>
              <w:start w:w="120" w:type="dxa"/>
              <w:bottom w:w="80" w:type="dxa"/>
              <w:end w:w="120" w:type="dxa"/>
            </w:tcMar>
          </w:tcPr>
          <w:p>
            <w:pPr>
              <w:spacing w:before="0" w:after="20" w:line="252" w:lineRule="auto"/>
              <w:jc w:val="left"/>
            </w:pPr>
            <w:r>
              <w:rPr>
                <w:color w:val="1D2733"/>
                <w:sz w:val="16"/>
              </w:rPr>
              <w:t>Strategic alliances, cloud marketplaces, donor/development programmes and enterprise channels</w:t>
            </w:r>
          </w:p>
        </w:tc>
        <w:tc>
          <w:tcPr>
            <w:tcW w:type="dxa" w:w="2050"/>
            <w:vAlign w:val="center"/>
            <w:tcMar>
              <w:top w:w="80" w:type="dxa"/>
              <w:start w:w="120" w:type="dxa"/>
              <w:bottom w:w="80" w:type="dxa"/>
              <w:end w:w="120" w:type="dxa"/>
            </w:tcMar>
          </w:tcPr>
          <w:p>
            <w:pPr>
              <w:spacing w:before="0" w:after="20" w:line="252" w:lineRule="auto"/>
              <w:jc w:val="left"/>
            </w:pPr>
            <w:r>
              <w:rPr>
                <w:color w:val="1D2733"/>
                <w:sz w:val="16"/>
              </w:rPr>
              <w:t>Regional platform, currency/tax, data location, multilingual and assurance maturity</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6"/>
              </w:rPr>
              <w:t>4 - Selected international</w:t>
            </w:r>
          </w:p>
        </w:tc>
        <w:tc>
          <w:tcPr>
            <w:tcW w:type="dxa" w:w="2510"/>
            <w:vAlign w:val="center"/>
            <w:shd w:fill="FAFBFC"/>
            <w:tcMar>
              <w:top w:w="80" w:type="dxa"/>
              <w:start w:w="120" w:type="dxa"/>
              <w:bottom w:w="80" w:type="dxa"/>
              <w:end w:w="120" w:type="dxa"/>
            </w:tcMar>
          </w:tcPr>
          <w:p>
            <w:pPr>
              <w:spacing w:before="0" w:after="20" w:line="252" w:lineRule="auto"/>
              <w:jc w:val="left"/>
            </w:pPr>
            <w:r>
              <w:rPr>
                <w:color w:val="1D2733"/>
                <w:sz w:val="16"/>
              </w:rPr>
              <w:t>Diaspora-linked SMEs, specialist African operations and software exports</w:t>
            </w:r>
          </w:p>
        </w:tc>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6"/>
              </w:rPr>
              <w:t>Digital acquisition, OEM/technology alliances and enterprise procurement</w:t>
            </w:r>
          </w:p>
        </w:tc>
        <w:tc>
          <w:tcPr>
            <w:tcW w:type="dxa" w:w="2050"/>
            <w:vAlign w:val="center"/>
            <w:shd w:fill="FAFBFC"/>
            <w:tcMar>
              <w:top w:w="80" w:type="dxa"/>
              <w:start w:w="120" w:type="dxa"/>
              <w:bottom w:w="80" w:type="dxa"/>
              <w:end w:w="120" w:type="dxa"/>
            </w:tcMar>
          </w:tcPr>
          <w:p>
            <w:pPr>
              <w:spacing w:before="0" w:after="20" w:line="252" w:lineRule="auto"/>
              <w:jc w:val="left"/>
            </w:pPr>
            <w:r>
              <w:rPr>
                <w:color w:val="1D2733"/>
                <w:sz w:val="16"/>
              </w:rPr>
              <w:t>International contracts, privacy transfers, IP, support zones and competitive differentiation</w:t>
            </w:r>
          </w:p>
        </w:tc>
      </w:tr>
    </w:tbl>
    <w:p>
      <w:pPr>
        <w:pStyle w:val="Heading2"/>
      </w:pPr>
      <w:r>
        <w:t>Commercialisation playbook</w:t>
      </w:r>
    </w:p>
    <w:p>
      <w:pPr>
        <w:pStyle w:val="ListNumber"/>
        <w:keepLines/>
        <w:numPr>
          <w:ilvl w:val="0"/>
          <w:numId w:val="21"/>
        </w:numPr>
      </w:pPr>
      <w:r>
        <w:t>Define the ideal customer, economic buyer, urgent problem, outcome and why Rihuum can win.</w:t>
      </w:r>
    </w:p>
    <w:p>
      <w:pPr>
        <w:pStyle w:val="ListNumber"/>
        <w:keepLines/>
        <w:numPr>
          <w:ilvl w:val="0"/>
          <w:numId w:val="21"/>
        </w:numPr>
      </w:pPr>
      <w:r>
        <w:t>Package a narrow offer with scope, implementation, subscription/licence, support and evidence-based promise.</w:t>
      </w:r>
    </w:p>
    <w:p>
      <w:pPr>
        <w:pStyle w:val="ListNumber"/>
        <w:keepLines/>
        <w:numPr>
          <w:ilvl w:val="0"/>
          <w:numId w:val="21"/>
        </w:numPr>
      </w:pPr>
      <w:r>
        <w:t>Recruit lighthouse customers under clear pilot terms and obtain permission for measured references only after success.</w:t>
      </w:r>
    </w:p>
    <w:p>
      <w:pPr>
        <w:pStyle w:val="ListNumber"/>
        <w:keepLines/>
        <w:numPr>
          <w:ilvl w:val="0"/>
          <w:numId w:val="21"/>
        </w:numPr>
      </w:pPr>
      <w:r>
        <w:t>Standardise discovery, configuration, migration, training, go-live, support and renewal to reduce implementation variance.</w:t>
      </w:r>
    </w:p>
    <w:p>
      <w:pPr>
        <w:pStyle w:val="ListNumber"/>
        <w:keepLines/>
        <w:numPr>
          <w:ilvl w:val="0"/>
          <w:numId w:val="21"/>
        </w:numPr>
      </w:pPr>
      <w:r>
        <w:t>Build partner channels with qualification, territory/lead rules, training, demo, margins, quality, security and termination terms.</w:t>
      </w:r>
    </w:p>
    <w:p>
      <w:pPr>
        <w:pStyle w:val="ListNumber"/>
        <w:keepLines/>
        <w:numPr>
          <w:ilvl w:val="0"/>
          <w:numId w:val="21"/>
        </w:numPr>
      </w:pPr>
      <w:r>
        <w:t>Localise content, language, currency, tax, payments, data, accessibility, support and contracts before broad promotion.</w:t>
      </w:r>
    </w:p>
    <w:p>
      <w:pPr>
        <w:pStyle w:val="Heading2"/>
      </w:pPr>
      <w:r>
        <w:t>Partnership strategy</w:t>
      </w:r>
    </w:p>
    <w:p>
      <w:pPr>
        <w:pStyle w:val="Caption"/>
      </w:pPr>
      <w:r>
        <w:t>Table 39. Partner categories and safeguards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900"/>
        <w:gridCol w:w="3240"/>
        <w:gridCol w:w="4220"/>
      </w:tblGrid>
      <w:tr>
        <w:trPr>
          <w:tblHeader w:val="true"/>
          <w:cantSplit/>
        </w:trPr>
        <w:tc>
          <w:tcPr>
            <w:tcW w:type="dxa" w:w="1900"/>
            <w:vAlign w:val="center"/>
            <w:shd w:fill="F2F4F7"/>
            <w:tcMar>
              <w:top w:w="80" w:type="dxa"/>
              <w:start w:w="120" w:type="dxa"/>
              <w:bottom w:w="80" w:type="dxa"/>
              <w:end w:w="120" w:type="dxa"/>
            </w:tcMar>
          </w:tcPr>
          <w:p>
            <w:pPr>
              <w:spacing w:before="0" w:after="0"/>
              <w:jc w:val="center"/>
            </w:pPr>
            <w:r>
              <w:rPr>
                <w:b/>
                <w:color w:val="102A43"/>
                <w:sz w:val="17"/>
              </w:rPr>
              <w:t>Partner</w:t>
            </w:r>
          </w:p>
        </w:tc>
        <w:tc>
          <w:tcPr>
            <w:tcW w:type="dxa" w:w="3240"/>
            <w:vAlign w:val="center"/>
            <w:shd w:fill="F2F4F7"/>
            <w:tcMar>
              <w:top w:w="80" w:type="dxa"/>
              <w:start w:w="120" w:type="dxa"/>
              <w:bottom w:w="80" w:type="dxa"/>
              <w:end w:w="120" w:type="dxa"/>
            </w:tcMar>
          </w:tcPr>
          <w:p>
            <w:pPr>
              <w:spacing w:before="0" w:after="0"/>
              <w:jc w:val="center"/>
            </w:pPr>
            <w:r>
              <w:rPr>
                <w:b/>
                <w:color w:val="102A43"/>
                <w:sz w:val="17"/>
              </w:rPr>
              <w:t>Value</w:t>
            </w:r>
          </w:p>
        </w:tc>
        <w:tc>
          <w:tcPr>
            <w:tcW w:type="dxa" w:w="4220"/>
            <w:vAlign w:val="center"/>
            <w:shd w:fill="F2F4F7"/>
            <w:tcMar>
              <w:top w:w="80" w:type="dxa"/>
              <w:start w:w="120" w:type="dxa"/>
              <w:bottom w:w="80" w:type="dxa"/>
              <w:end w:w="120" w:type="dxa"/>
            </w:tcMar>
          </w:tcPr>
          <w:p>
            <w:pPr>
              <w:spacing w:before="0" w:after="0"/>
              <w:jc w:val="center"/>
            </w:pPr>
            <w:r>
              <w:rPr>
                <w:b/>
                <w:color w:val="102A43"/>
                <w:sz w:val="17"/>
              </w:rPr>
              <w:t>Safeguard</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Technology/cloud</w:t>
            </w:r>
          </w:p>
        </w:tc>
        <w:tc>
          <w:tcPr>
            <w:tcW w:type="dxa" w:w="3240"/>
            <w:vAlign w:val="center"/>
            <w:tcMar>
              <w:top w:w="80" w:type="dxa"/>
              <w:start w:w="120" w:type="dxa"/>
              <w:bottom w:w="80" w:type="dxa"/>
              <w:end w:w="120" w:type="dxa"/>
            </w:tcMar>
          </w:tcPr>
          <w:p>
            <w:pPr>
              <w:spacing w:before="0" w:after="20" w:line="252" w:lineRule="auto"/>
              <w:jc w:val="left"/>
            </w:pPr>
            <w:r>
              <w:rPr>
                <w:color w:val="1D2733"/>
                <w:sz w:val="16"/>
              </w:rPr>
              <w:t>Infrastructure, AI, productivity, security and marketplace capability</w:t>
            </w:r>
          </w:p>
        </w:tc>
        <w:tc>
          <w:tcPr>
            <w:tcW w:type="dxa" w:w="4220"/>
            <w:vAlign w:val="center"/>
            <w:tcMar>
              <w:top w:w="80" w:type="dxa"/>
              <w:start w:w="120" w:type="dxa"/>
              <w:bottom w:w="80" w:type="dxa"/>
              <w:end w:w="120" w:type="dxa"/>
            </w:tcMar>
          </w:tcPr>
          <w:p>
            <w:pPr>
              <w:spacing w:before="0" w:after="20" w:line="252" w:lineRule="auto"/>
              <w:jc w:val="left"/>
            </w:pPr>
            <w:r>
              <w:rPr>
                <w:color w:val="1D2733"/>
                <w:sz w:val="16"/>
              </w:rPr>
              <w:t>Exit plan, data terms, service levels, security, costs and competence</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Hardware/OEM</w:t>
            </w:r>
          </w:p>
        </w:tc>
        <w:tc>
          <w:tcPr>
            <w:tcW w:type="dxa" w:w="3240"/>
            <w:vAlign w:val="center"/>
            <w:shd w:fill="FAFBFC"/>
            <w:tcMar>
              <w:top w:w="80" w:type="dxa"/>
              <w:start w:w="120" w:type="dxa"/>
              <w:bottom w:w="80" w:type="dxa"/>
              <w:end w:w="120" w:type="dxa"/>
            </w:tcMar>
          </w:tcPr>
          <w:p>
            <w:pPr>
              <w:spacing w:before="0" w:after="20" w:line="252" w:lineRule="auto"/>
              <w:jc w:val="left"/>
            </w:pPr>
            <w:r>
              <w:rPr>
                <w:color w:val="1D2733"/>
                <w:sz w:val="16"/>
              </w:rPr>
              <w:t>CCTV, networking, access, IoT and telematics supply/warranty</w:t>
            </w:r>
          </w:p>
        </w:tc>
        <w:tc>
          <w:tcPr>
            <w:tcW w:type="dxa" w:w="4220"/>
            <w:vAlign w:val="center"/>
            <w:shd w:fill="FAFBFC"/>
            <w:tcMar>
              <w:top w:w="80" w:type="dxa"/>
              <w:start w:w="120" w:type="dxa"/>
              <w:bottom w:w="80" w:type="dxa"/>
              <w:end w:w="120" w:type="dxa"/>
            </w:tcMar>
          </w:tcPr>
          <w:p>
            <w:pPr>
              <w:spacing w:before="0" w:after="20" w:line="252" w:lineRule="auto"/>
              <w:jc w:val="left"/>
            </w:pPr>
            <w:r>
              <w:rPr>
                <w:color w:val="1D2733"/>
                <w:sz w:val="16"/>
              </w:rPr>
              <w:t>Authorisation, genuine supply, warranty, spares, firmware and support</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Delivery/reseller</w:t>
            </w:r>
          </w:p>
        </w:tc>
        <w:tc>
          <w:tcPr>
            <w:tcW w:type="dxa" w:w="3240"/>
            <w:vAlign w:val="center"/>
            <w:tcMar>
              <w:top w:w="80" w:type="dxa"/>
              <w:start w:w="120" w:type="dxa"/>
              <w:bottom w:w="80" w:type="dxa"/>
              <w:end w:w="120" w:type="dxa"/>
            </w:tcMar>
          </w:tcPr>
          <w:p>
            <w:pPr>
              <w:spacing w:before="0" w:after="20" w:line="252" w:lineRule="auto"/>
              <w:jc w:val="left"/>
            </w:pPr>
            <w:r>
              <w:rPr>
                <w:color w:val="1D2733"/>
                <w:sz w:val="16"/>
              </w:rPr>
              <w:t>Local sales, implementation and support</w:t>
            </w:r>
          </w:p>
        </w:tc>
        <w:tc>
          <w:tcPr>
            <w:tcW w:type="dxa" w:w="4220"/>
            <w:vAlign w:val="center"/>
            <w:tcMar>
              <w:top w:w="80" w:type="dxa"/>
              <w:start w:w="120" w:type="dxa"/>
              <w:bottom w:w="80" w:type="dxa"/>
              <w:end w:w="120" w:type="dxa"/>
            </w:tcMar>
          </w:tcPr>
          <w:p>
            <w:pPr>
              <w:spacing w:before="0" w:after="20" w:line="252" w:lineRule="auto"/>
              <w:jc w:val="left"/>
            </w:pPr>
            <w:r>
              <w:rPr>
                <w:color w:val="1D2733"/>
                <w:sz w:val="16"/>
              </w:rPr>
              <w:t>Certification, client ownership, brand, quality, data access, audit and termination</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Academia/training</w:t>
            </w:r>
          </w:p>
        </w:tc>
        <w:tc>
          <w:tcPr>
            <w:tcW w:type="dxa" w:w="3240"/>
            <w:vAlign w:val="center"/>
            <w:shd w:fill="FAFBFC"/>
            <w:tcMar>
              <w:top w:w="80" w:type="dxa"/>
              <w:start w:w="120" w:type="dxa"/>
              <w:bottom w:w="80" w:type="dxa"/>
              <w:end w:w="120" w:type="dxa"/>
            </w:tcMar>
          </w:tcPr>
          <w:p>
            <w:pPr>
              <w:spacing w:before="0" w:after="20" w:line="252" w:lineRule="auto"/>
              <w:jc w:val="left"/>
            </w:pPr>
            <w:r>
              <w:rPr>
                <w:color w:val="1D2733"/>
                <w:sz w:val="16"/>
              </w:rPr>
              <w:t>Curriculum, instructors, research, credentials and talent</w:t>
            </w:r>
          </w:p>
        </w:tc>
        <w:tc>
          <w:tcPr>
            <w:tcW w:type="dxa" w:w="4220"/>
            <w:vAlign w:val="center"/>
            <w:shd w:fill="FAFBFC"/>
            <w:tcMar>
              <w:top w:w="80" w:type="dxa"/>
              <w:start w:w="120" w:type="dxa"/>
              <w:bottom w:w="80" w:type="dxa"/>
              <w:end w:w="120" w:type="dxa"/>
            </w:tcMar>
          </w:tcPr>
          <w:p>
            <w:pPr>
              <w:spacing w:before="0" w:after="20" w:line="252" w:lineRule="auto"/>
              <w:jc w:val="left"/>
            </w:pPr>
            <w:r>
              <w:rPr>
                <w:color w:val="1D2733"/>
                <w:sz w:val="16"/>
              </w:rPr>
              <w:t>Learning outcomes, IP/content, assessment integrity and learner protection</w:t>
            </w:r>
          </w:p>
        </w:tc>
      </w:tr>
      <w:tr>
        <w:trPr>
          <w:cantSplit/>
        </w:trPr>
        <w:tc>
          <w:tcPr>
            <w:tcW w:type="dxa" w:w="1900"/>
            <w:vAlign w:val="center"/>
            <w:tcMar>
              <w:top w:w="80" w:type="dxa"/>
              <w:start w:w="120" w:type="dxa"/>
              <w:bottom w:w="80" w:type="dxa"/>
              <w:end w:w="120" w:type="dxa"/>
            </w:tcMar>
          </w:tcPr>
          <w:p>
            <w:pPr>
              <w:spacing w:before="0" w:after="20" w:line="252" w:lineRule="auto"/>
              <w:jc w:val="left"/>
            </w:pPr>
            <w:r>
              <w:rPr>
                <w:color w:val="1D2733"/>
                <w:sz w:val="16"/>
              </w:rPr>
              <w:t>Government/development</w:t>
            </w:r>
          </w:p>
        </w:tc>
        <w:tc>
          <w:tcPr>
            <w:tcW w:type="dxa" w:w="3240"/>
            <w:vAlign w:val="center"/>
            <w:tcMar>
              <w:top w:w="80" w:type="dxa"/>
              <w:start w:w="120" w:type="dxa"/>
              <w:bottom w:w="80" w:type="dxa"/>
              <w:end w:w="120" w:type="dxa"/>
            </w:tcMar>
          </w:tcPr>
          <w:p>
            <w:pPr>
              <w:spacing w:before="0" w:after="20" w:line="252" w:lineRule="auto"/>
              <w:jc w:val="left"/>
            </w:pPr>
            <w:r>
              <w:rPr>
                <w:color w:val="1D2733"/>
                <w:sz w:val="16"/>
              </w:rPr>
              <w:t>Policy alignment, skills, infrastructure and market programmes</w:t>
            </w:r>
          </w:p>
        </w:tc>
        <w:tc>
          <w:tcPr>
            <w:tcW w:type="dxa" w:w="4220"/>
            <w:vAlign w:val="center"/>
            <w:tcMar>
              <w:top w:w="80" w:type="dxa"/>
              <w:start w:w="120" w:type="dxa"/>
              <w:bottom w:w="80" w:type="dxa"/>
              <w:end w:w="120" w:type="dxa"/>
            </w:tcMar>
          </w:tcPr>
          <w:p>
            <w:pPr>
              <w:spacing w:before="0" w:after="20" w:line="252" w:lineRule="auto"/>
              <w:jc w:val="left"/>
            </w:pPr>
            <w:r>
              <w:rPr>
                <w:color w:val="1D2733"/>
                <w:sz w:val="16"/>
              </w:rPr>
              <w:t>Procurement integrity, measurable outcomes, sustainability and public accountability</w:t>
            </w:r>
          </w:p>
        </w:tc>
      </w:tr>
      <w:tr>
        <w:trPr>
          <w:cantSplit/>
        </w:trPr>
        <w:tc>
          <w:tcPr>
            <w:tcW w:type="dxa" w:w="1900"/>
            <w:vAlign w:val="center"/>
            <w:shd w:fill="FAFBFC"/>
            <w:tcMar>
              <w:top w:w="80" w:type="dxa"/>
              <w:start w:w="120" w:type="dxa"/>
              <w:bottom w:w="80" w:type="dxa"/>
              <w:end w:w="120" w:type="dxa"/>
            </w:tcMar>
          </w:tcPr>
          <w:p>
            <w:pPr>
              <w:spacing w:before="0" w:after="20" w:line="252" w:lineRule="auto"/>
              <w:jc w:val="left"/>
            </w:pPr>
            <w:r>
              <w:rPr>
                <w:color w:val="1D2733"/>
                <w:sz w:val="16"/>
              </w:rPr>
              <w:t>Investor/venture</w:t>
            </w:r>
          </w:p>
        </w:tc>
        <w:tc>
          <w:tcPr>
            <w:tcW w:type="dxa" w:w="3240"/>
            <w:vAlign w:val="center"/>
            <w:shd w:fill="FAFBFC"/>
            <w:tcMar>
              <w:top w:w="80" w:type="dxa"/>
              <w:start w:w="120" w:type="dxa"/>
              <w:bottom w:w="80" w:type="dxa"/>
              <w:end w:w="120" w:type="dxa"/>
            </w:tcMar>
          </w:tcPr>
          <w:p>
            <w:pPr>
              <w:spacing w:before="0" w:after="20" w:line="252" w:lineRule="auto"/>
              <w:jc w:val="left"/>
            </w:pPr>
            <w:r>
              <w:rPr>
                <w:color w:val="1D2733"/>
                <w:sz w:val="16"/>
              </w:rPr>
              <w:t>Capital, governance, network and commercial expertise</w:t>
            </w:r>
          </w:p>
        </w:tc>
        <w:tc>
          <w:tcPr>
            <w:tcW w:type="dxa" w:w="4220"/>
            <w:vAlign w:val="center"/>
            <w:shd w:fill="FAFBFC"/>
            <w:tcMar>
              <w:top w:w="80" w:type="dxa"/>
              <w:start w:w="120" w:type="dxa"/>
              <w:bottom w:w="80" w:type="dxa"/>
              <w:end w:w="120" w:type="dxa"/>
            </w:tcMar>
          </w:tcPr>
          <w:p>
            <w:pPr>
              <w:spacing w:before="0" w:after="20" w:line="252" w:lineRule="auto"/>
              <w:jc w:val="left"/>
            </w:pPr>
            <w:r>
              <w:rPr>
                <w:color w:val="1D2733"/>
                <w:sz w:val="16"/>
              </w:rPr>
              <w:t>Strategic fit, rights, dilution, use of funds, reporting and conflicts</w:t>
            </w:r>
          </w:p>
        </w:tc>
      </w:tr>
    </w:tbl>
    <w:p>
      <w:pPr>
        <w:pStyle w:val="Heading2"/>
      </w:pPr>
      <w:r>
        <w:t>Country readiness checklist</w:t>
      </w:r>
    </w:p>
    <w:p>
      <w:pPr>
        <w:pStyle w:val="ListBullet"/>
        <w:keepLines/>
      </w:pPr>
      <w:r>
        <w:t>Demand, competitors, willingness to pay, routes to market and reference relevance.</w:t>
      </w:r>
    </w:p>
    <w:p>
      <w:pPr>
        <w:pStyle w:val="ListBullet"/>
        <w:keepLines/>
      </w:pPr>
      <w:r>
        <w:t>Entity/registration, tax, employment, foreign exchange, import, telecom/device and sector licensing.</w:t>
      </w:r>
    </w:p>
    <w:p>
      <w:pPr>
        <w:pStyle w:val="ListBullet"/>
        <w:keepLines/>
      </w:pPr>
      <w:r>
        <w:t>Privacy, cybersecurity, cross-border data, government/cloud procurement and localisation obligations.</w:t>
      </w:r>
    </w:p>
    <w:p>
      <w:pPr>
        <w:pStyle w:val="ListBullet"/>
        <w:keepLines/>
      </w:pPr>
      <w:r>
        <w:t>Payment collection, currency, invoicing, collections, repatriation and fraud controls.</w:t>
      </w:r>
    </w:p>
    <w:p>
      <w:pPr>
        <w:pStyle w:val="ListBullet"/>
        <w:keepLines/>
      </w:pPr>
      <w:r>
        <w:t>Language, culture, accessibility, time zone, support, installation and spare-parts capacity.</w:t>
      </w:r>
    </w:p>
    <w:p>
      <w:pPr>
        <w:pStyle w:val="ListBullet"/>
        <w:keepLines/>
      </w:pPr>
      <w:r>
        <w:t>Partner diligence, anti-bribery, sanctions, beneficial ownership, reputation and contractual enforcement.</w:t>
      </w:r>
    </w:p>
    <w:p>
      <w:pPr>
        <w:pStyle w:val="LeadCallout"/>
      </w:pPr>
      <w:r>
        <w:t>CYBERSECURITY LICENSING: Sentinel Core and every security capability use independent server-side entitlements. A licence never replaces written authority, verified ownership, exact scope, approval, data-protection or commissioning requirements.</w:t>
      </w:r>
    </w:p>
    <w:p>
      <w:bookmarkStart w:id="27" w:name="sec27"/>
      <w:pPr>
        <w:pStyle w:val="Heading1"/>
        <w:keepNext/>
        <w:pageBreakBefore/>
      </w:pPr>
      <w:r>
        <w:t>SECTION 27 | Pricing, Licensing, Subscription, and Revenue Models</w:t>
      </w:r>
      <w:bookmarkEnd w:id="27"/>
    </w:p>
    <w:p>
      <w:pPr>
        <w:pStyle w:val="LeadCallout"/>
        <w:shd w:fill="F4F6F9"/>
        <w:pBdr>
          <w:left w:val="single" w:sz="18" w:space="8" w:color="C99A2E"/>
        </w:pBdr>
      </w:pPr>
      <w:r>
        <w:rPr>
          <w:b/>
          <w:color w:val="102A43"/>
        </w:rPr>
        <w:t xml:space="preserve">Pricing principle: </w:t>
      </w:r>
      <w:r>
        <w:t>Price the value and operating commitment, then verify that the resulting revenue covers delivery, infrastructure, support, risk, channel and continued product investment. Do not copy a competitor price without comparable scope and economics.</w:t>
      </w:r>
    </w:p>
    <w:p>
      <w:pPr>
        <w:pStyle w:val="Caption"/>
      </w:pPr>
      <w:r>
        <w:t>Table 40. Revenue architecture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850"/>
        <w:gridCol w:w="3430"/>
        <w:gridCol w:w="4080"/>
      </w:tblGrid>
      <w:tr>
        <w:trPr>
          <w:tblHeader w:val="true"/>
          <w:cantSplit/>
        </w:trPr>
        <w:tc>
          <w:tcPr>
            <w:tcW w:type="dxa" w:w="1850"/>
            <w:vAlign w:val="center"/>
            <w:shd w:fill="F2F4F7"/>
            <w:tcMar>
              <w:top w:w="80" w:type="dxa"/>
              <w:start w:w="120" w:type="dxa"/>
              <w:bottom w:w="80" w:type="dxa"/>
              <w:end w:w="120" w:type="dxa"/>
            </w:tcMar>
          </w:tcPr>
          <w:p>
            <w:pPr>
              <w:spacing w:before="0" w:after="0"/>
              <w:jc w:val="center"/>
            </w:pPr>
            <w:r>
              <w:rPr>
                <w:b/>
                <w:color w:val="102A43"/>
                <w:sz w:val="17"/>
              </w:rPr>
              <w:t>Model</w:t>
            </w:r>
          </w:p>
        </w:tc>
        <w:tc>
          <w:tcPr>
            <w:tcW w:type="dxa" w:w="3430"/>
            <w:vAlign w:val="center"/>
            <w:shd w:fill="F2F4F7"/>
            <w:tcMar>
              <w:top w:w="80" w:type="dxa"/>
              <w:start w:w="120" w:type="dxa"/>
              <w:bottom w:w="80" w:type="dxa"/>
              <w:end w:w="120" w:type="dxa"/>
            </w:tcMar>
          </w:tcPr>
          <w:p>
            <w:pPr>
              <w:spacing w:before="0" w:after="0"/>
              <w:jc w:val="center"/>
            </w:pPr>
            <w:r>
              <w:rPr>
                <w:b/>
                <w:color w:val="102A43"/>
                <w:sz w:val="17"/>
              </w:rPr>
              <w:t>Best use</w:t>
            </w:r>
          </w:p>
        </w:tc>
        <w:tc>
          <w:tcPr>
            <w:tcW w:type="dxa" w:w="4080"/>
            <w:vAlign w:val="center"/>
            <w:shd w:fill="F2F4F7"/>
            <w:tcMar>
              <w:top w:w="80" w:type="dxa"/>
              <w:start w:w="120" w:type="dxa"/>
              <w:bottom w:w="80" w:type="dxa"/>
              <w:end w:w="120" w:type="dxa"/>
            </w:tcMar>
          </w:tcPr>
          <w:p>
            <w:pPr>
              <w:spacing w:before="0" w:after="0"/>
              <w:jc w:val="left"/>
            </w:pPr>
            <w:r>
              <w:rPr>
                <w:b/>
                <w:color w:val="102A43"/>
                <w:sz w:val="17"/>
              </w:rPr>
              <w:t>Core price drivers</w:t>
            </w:r>
          </w:p>
        </w:tc>
      </w:tr>
      <w:tr>
        <w:trPr>
          <w:cantSplit/>
        </w:trPr>
        <w:tc>
          <w:tcPr>
            <w:tcW w:type="dxa" w:w="1850"/>
            <w:vAlign w:val="center"/>
            <w:tcMar>
              <w:top w:w="80" w:type="dxa"/>
              <w:start w:w="120" w:type="dxa"/>
              <w:bottom w:w="80" w:type="dxa"/>
              <w:end w:w="120" w:type="dxa"/>
            </w:tcMar>
          </w:tcPr>
          <w:p>
            <w:pPr>
              <w:spacing w:before="0" w:after="20" w:line="252" w:lineRule="auto"/>
              <w:jc w:val="left"/>
            </w:pPr>
            <w:r>
              <w:rPr>
                <w:color w:val="1D2733"/>
                <w:sz w:val="16"/>
              </w:rPr>
              <w:t>SaaS subscription</w:t>
            </w:r>
          </w:p>
        </w:tc>
        <w:tc>
          <w:tcPr>
            <w:tcW w:type="dxa" w:w="3430"/>
            <w:vAlign w:val="center"/>
            <w:tcMar>
              <w:top w:w="80" w:type="dxa"/>
              <w:start w:w="120" w:type="dxa"/>
              <w:bottom w:w="80" w:type="dxa"/>
              <w:end w:w="120" w:type="dxa"/>
            </w:tcMar>
          </w:tcPr>
          <w:p>
            <w:pPr>
              <w:spacing w:before="0" w:after="20" w:line="252" w:lineRule="auto"/>
              <w:jc w:val="left"/>
            </w:pPr>
            <w:r>
              <w:rPr>
                <w:color w:val="1D2733"/>
                <w:sz w:val="16"/>
              </w:rPr>
              <w:t>RME, Rihuum OS, AI, portals, LMS and analytics</w:t>
            </w:r>
          </w:p>
        </w:tc>
        <w:tc>
          <w:tcPr>
            <w:tcW w:type="dxa" w:w="4080"/>
            <w:vAlign w:val="center"/>
            <w:tcMar>
              <w:top w:w="80" w:type="dxa"/>
              <w:start w:w="120" w:type="dxa"/>
              <w:bottom w:w="80" w:type="dxa"/>
              <w:end w:w="120" w:type="dxa"/>
            </w:tcMar>
          </w:tcPr>
          <w:p>
            <w:pPr>
              <w:spacing w:before="0" w:after="20" w:line="252" w:lineRule="auto"/>
              <w:jc w:val="left"/>
            </w:pPr>
            <w:r>
              <w:rPr>
                <w:color w:val="1D2733"/>
                <w:sz w:val="16"/>
              </w:rPr>
              <w:t>Tenant, users, modules, sites/assets, usage, support and billing term</w:t>
            </w:r>
          </w:p>
        </w:tc>
      </w:tr>
      <w:tr>
        <w:trPr>
          <w:cantSplit/>
        </w:trPr>
        <w:tc>
          <w:tcPr>
            <w:tcW w:type="dxa" w:w="1850"/>
            <w:vAlign w:val="center"/>
            <w:shd w:fill="FAFBFC"/>
            <w:tcMar>
              <w:top w:w="80" w:type="dxa"/>
              <w:start w:w="120" w:type="dxa"/>
              <w:bottom w:w="80" w:type="dxa"/>
              <w:end w:w="120" w:type="dxa"/>
            </w:tcMar>
          </w:tcPr>
          <w:p>
            <w:pPr>
              <w:spacing w:before="0" w:after="20" w:line="252" w:lineRule="auto"/>
              <w:jc w:val="left"/>
            </w:pPr>
            <w:r>
              <w:rPr>
                <w:color w:val="1D2733"/>
                <w:sz w:val="16"/>
              </w:rPr>
              <w:t>Usage-based</w:t>
            </w:r>
          </w:p>
        </w:tc>
        <w:tc>
          <w:tcPr>
            <w:tcW w:type="dxa" w:w="3430"/>
            <w:vAlign w:val="center"/>
            <w:shd w:fill="FAFBFC"/>
            <w:tcMar>
              <w:top w:w="80" w:type="dxa"/>
              <w:start w:w="120" w:type="dxa"/>
              <w:bottom w:w="80" w:type="dxa"/>
              <w:end w:w="120" w:type="dxa"/>
            </w:tcMar>
          </w:tcPr>
          <w:p>
            <w:pPr>
              <w:spacing w:before="0" w:after="20" w:line="252" w:lineRule="auto"/>
              <w:jc w:val="left"/>
            </w:pPr>
            <w:r>
              <w:rPr>
                <w:color w:val="1D2733"/>
                <w:sz w:val="16"/>
              </w:rPr>
              <w:t>AI tokens/actions, messages, storage, telemetry or transactions</w:t>
            </w:r>
          </w:p>
        </w:tc>
        <w:tc>
          <w:tcPr>
            <w:tcW w:type="dxa" w:w="4080"/>
            <w:vAlign w:val="center"/>
            <w:shd w:fill="FAFBFC"/>
            <w:tcMar>
              <w:top w:w="80" w:type="dxa"/>
              <w:start w:w="120" w:type="dxa"/>
              <w:bottom w:w="80" w:type="dxa"/>
              <w:end w:w="120" w:type="dxa"/>
            </w:tcMar>
          </w:tcPr>
          <w:p>
            <w:pPr>
              <w:spacing w:before="0" w:after="20" w:line="252" w:lineRule="auto"/>
              <w:jc w:val="left"/>
            </w:pPr>
            <w:r>
              <w:rPr>
                <w:color w:val="1D2733"/>
                <w:sz w:val="16"/>
              </w:rPr>
              <w:t>Metered unit, included allowance, overage, cap and cost volatility</w:t>
            </w:r>
          </w:p>
        </w:tc>
      </w:tr>
      <w:tr>
        <w:trPr>
          <w:cantSplit/>
        </w:trPr>
        <w:tc>
          <w:tcPr>
            <w:tcW w:type="dxa" w:w="1850"/>
            <w:vAlign w:val="center"/>
            <w:tcMar>
              <w:top w:w="80" w:type="dxa"/>
              <w:start w:w="120" w:type="dxa"/>
              <w:bottom w:w="80" w:type="dxa"/>
              <w:end w:w="120" w:type="dxa"/>
            </w:tcMar>
          </w:tcPr>
          <w:p>
            <w:pPr>
              <w:spacing w:before="0" w:after="20" w:line="252" w:lineRule="auto"/>
              <w:jc w:val="left"/>
            </w:pPr>
            <w:r>
              <w:rPr>
                <w:color w:val="1D2733"/>
                <w:sz w:val="16"/>
              </w:rPr>
              <w:t>Implementation</w:t>
            </w:r>
          </w:p>
        </w:tc>
        <w:tc>
          <w:tcPr>
            <w:tcW w:type="dxa" w:w="3430"/>
            <w:vAlign w:val="center"/>
            <w:tcMar>
              <w:top w:w="80" w:type="dxa"/>
              <w:start w:w="120" w:type="dxa"/>
              <w:bottom w:w="80" w:type="dxa"/>
              <w:end w:w="120" w:type="dxa"/>
            </w:tcMar>
          </w:tcPr>
          <w:p>
            <w:pPr>
              <w:spacing w:before="0" w:after="20" w:line="252" w:lineRule="auto"/>
              <w:jc w:val="left"/>
            </w:pPr>
            <w:r>
              <w:rPr>
                <w:color w:val="1D2733"/>
                <w:sz w:val="16"/>
              </w:rPr>
              <w:t>Discovery, configuration, data migration, integration and training</w:t>
            </w:r>
          </w:p>
        </w:tc>
        <w:tc>
          <w:tcPr>
            <w:tcW w:type="dxa" w:w="4080"/>
            <w:vAlign w:val="center"/>
            <w:tcMar>
              <w:top w:w="80" w:type="dxa"/>
              <w:start w:w="120" w:type="dxa"/>
              <w:bottom w:w="80" w:type="dxa"/>
              <w:end w:w="120" w:type="dxa"/>
            </w:tcMar>
          </w:tcPr>
          <w:p>
            <w:pPr>
              <w:spacing w:before="0" w:after="20" w:line="252" w:lineRule="auto"/>
              <w:jc w:val="left"/>
            </w:pPr>
            <w:r>
              <w:rPr>
                <w:color w:val="1D2733"/>
                <w:sz w:val="16"/>
              </w:rPr>
              <w:t>Complexity, data, systems, locations, risk and acceptance</w:t>
            </w:r>
          </w:p>
        </w:tc>
      </w:tr>
      <w:tr>
        <w:trPr>
          <w:cantSplit/>
        </w:trPr>
        <w:tc>
          <w:tcPr>
            <w:tcW w:type="dxa" w:w="1850"/>
            <w:vAlign w:val="center"/>
            <w:shd w:fill="FAFBFC"/>
            <w:tcMar>
              <w:top w:w="80" w:type="dxa"/>
              <w:start w:w="120" w:type="dxa"/>
              <w:bottom w:w="80" w:type="dxa"/>
              <w:end w:w="120" w:type="dxa"/>
            </w:tcMar>
          </w:tcPr>
          <w:p>
            <w:pPr>
              <w:spacing w:before="0" w:after="20" w:line="252" w:lineRule="auto"/>
              <w:jc w:val="left"/>
            </w:pPr>
            <w:r>
              <w:rPr>
                <w:color w:val="1D2733"/>
                <w:sz w:val="16"/>
              </w:rPr>
              <w:t>Managed service</w:t>
            </w:r>
          </w:p>
        </w:tc>
        <w:tc>
          <w:tcPr>
            <w:tcW w:type="dxa" w:w="3430"/>
            <w:vAlign w:val="center"/>
            <w:shd w:fill="FAFBFC"/>
            <w:tcMar>
              <w:top w:w="80" w:type="dxa"/>
              <w:start w:w="120" w:type="dxa"/>
              <w:bottom w:w="80" w:type="dxa"/>
              <w:end w:w="120" w:type="dxa"/>
            </w:tcMar>
          </w:tcPr>
          <w:p>
            <w:pPr>
              <w:spacing w:before="0" w:after="20" w:line="252" w:lineRule="auto"/>
              <w:jc w:val="left"/>
            </w:pPr>
            <w:r>
              <w:rPr>
                <w:color w:val="1D2733"/>
                <w:sz w:val="16"/>
              </w:rPr>
              <w:t>Hosting, operations, cybersecurity, networks, devices and support</w:t>
            </w:r>
          </w:p>
        </w:tc>
        <w:tc>
          <w:tcPr>
            <w:tcW w:type="dxa" w:w="4080"/>
            <w:vAlign w:val="center"/>
            <w:shd w:fill="FAFBFC"/>
            <w:tcMar>
              <w:top w:w="80" w:type="dxa"/>
              <w:start w:w="120" w:type="dxa"/>
              <w:bottom w:w="80" w:type="dxa"/>
              <w:end w:w="120" w:type="dxa"/>
            </w:tcMar>
          </w:tcPr>
          <w:p>
            <w:pPr>
              <w:spacing w:before="0" w:after="20" w:line="252" w:lineRule="auto"/>
              <w:jc w:val="left"/>
            </w:pPr>
            <w:r>
              <w:rPr>
                <w:color w:val="1D2733"/>
                <w:sz w:val="16"/>
              </w:rPr>
              <w:t>Coverage hours, assets, sites, volume, SLA and tooling</w:t>
            </w:r>
          </w:p>
        </w:tc>
      </w:tr>
      <w:tr>
        <w:trPr>
          <w:cantSplit/>
        </w:trPr>
        <w:tc>
          <w:tcPr>
            <w:tcW w:type="dxa" w:w="1850"/>
            <w:vAlign w:val="center"/>
            <w:tcMar>
              <w:top w:w="80" w:type="dxa"/>
              <w:start w:w="120" w:type="dxa"/>
              <w:bottom w:w="80" w:type="dxa"/>
              <w:end w:w="120" w:type="dxa"/>
            </w:tcMar>
          </w:tcPr>
          <w:p>
            <w:pPr>
              <w:spacing w:before="0" w:after="20" w:line="252" w:lineRule="auto"/>
              <w:jc w:val="left"/>
            </w:pPr>
            <w:r>
              <w:rPr>
                <w:color w:val="1D2733"/>
                <w:sz w:val="16"/>
              </w:rPr>
              <w:t>Term/perpetual licence</w:t>
            </w:r>
          </w:p>
        </w:tc>
        <w:tc>
          <w:tcPr>
            <w:tcW w:type="dxa" w:w="3430"/>
            <w:vAlign w:val="center"/>
            <w:tcMar>
              <w:top w:w="80" w:type="dxa"/>
              <w:start w:w="120" w:type="dxa"/>
              <w:bottom w:w="80" w:type="dxa"/>
              <w:end w:w="120" w:type="dxa"/>
            </w:tcMar>
          </w:tcPr>
          <w:p>
            <w:pPr>
              <w:spacing w:before="0" w:after="20" w:line="252" w:lineRule="auto"/>
              <w:jc w:val="left"/>
            </w:pPr>
            <w:r>
              <w:rPr>
                <w:color w:val="1D2733"/>
                <w:sz w:val="16"/>
              </w:rPr>
              <w:t>On-premise/private deployments with client control</w:t>
            </w:r>
          </w:p>
        </w:tc>
        <w:tc>
          <w:tcPr>
            <w:tcW w:type="dxa" w:w="4080"/>
            <w:vAlign w:val="center"/>
            <w:tcMar>
              <w:top w:w="80" w:type="dxa"/>
              <w:start w:w="120" w:type="dxa"/>
              <w:bottom w:w="80" w:type="dxa"/>
              <w:end w:w="120" w:type="dxa"/>
            </w:tcMar>
          </w:tcPr>
          <w:p>
            <w:pPr>
              <w:spacing w:before="0" w:after="20" w:line="252" w:lineRule="auto"/>
              <w:jc w:val="left"/>
            </w:pPr>
            <w:r>
              <w:rPr>
                <w:color w:val="1D2733"/>
                <w:sz w:val="16"/>
              </w:rPr>
              <w:t>Environment, modules, users, term, maintenance, upgrade and audit rights</w:t>
            </w:r>
          </w:p>
        </w:tc>
      </w:tr>
      <w:tr>
        <w:trPr>
          <w:cantSplit/>
        </w:trPr>
        <w:tc>
          <w:tcPr>
            <w:tcW w:type="dxa" w:w="1850"/>
            <w:vAlign w:val="center"/>
            <w:shd w:fill="FAFBFC"/>
            <w:tcMar>
              <w:top w:w="80" w:type="dxa"/>
              <w:start w:w="120" w:type="dxa"/>
              <w:bottom w:w="80" w:type="dxa"/>
              <w:end w:w="120" w:type="dxa"/>
            </w:tcMar>
          </w:tcPr>
          <w:p>
            <w:pPr>
              <w:spacing w:before="0" w:after="20" w:line="252" w:lineRule="auto"/>
              <w:jc w:val="left"/>
            </w:pPr>
            <w:r>
              <w:rPr>
                <w:color w:val="1D2733"/>
                <w:sz w:val="16"/>
              </w:rPr>
              <w:t>Hardware/project</w:t>
            </w:r>
          </w:p>
        </w:tc>
        <w:tc>
          <w:tcPr>
            <w:tcW w:type="dxa" w:w="3430"/>
            <w:vAlign w:val="center"/>
            <w:shd w:fill="FAFBFC"/>
            <w:tcMar>
              <w:top w:w="80" w:type="dxa"/>
              <w:start w:w="120" w:type="dxa"/>
              <w:bottom w:w="80" w:type="dxa"/>
              <w:end w:w="120" w:type="dxa"/>
            </w:tcMar>
          </w:tcPr>
          <w:p>
            <w:pPr>
              <w:spacing w:before="0" w:after="20" w:line="252" w:lineRule="auto"/>
              <w:jc w:val="left"/>
            </w:pPr>
            <w:r>
              <w:rPr>
                <w:color w:val="1D2733"/>
                <w:sz w:val="16"/>
              </w:rPr>
              <w:t>CCTV, access, networking, IoT, telematics and events</w:t>
            </w:r>
          </w:p>
        </w:tc>
        <w:tc>
          <w:tcPr>
            <w:tcW w:type="dxa" w:w="4080"/>
            <w:vAlign w:val="center"/>
            <w:shd w:fill="FAFBFC"/>
            <w:tcMar>
              <w:top w:w="80" w:type="dxa"/>
              <w:start w:w="120" w:type="dxa"/>
              <w:bottom w:w="80" w:type="dxa"/>
              <w:end w:w="120" w:type="dxa"/>
            </w:tcMar>
          </w:tcPr>
          <w:p>
            <w:pPr>
              <w:spacing w:before="0" w:after="20" w:line="252" w:lineRule="auto"/>
              <w:jc w:val="left"/>
            </w:pPr>
            <w:r>
              <w:rPr>
                <w:color w:val="1D2733"/>
                <w:sz w:val="16"/>
              </w:rPr>
              <w:t>Bill of materials, logistics, installation, warranty, margin and maintenance</w:t>
            </w:r>
          </w:p>
        </w:tc>
      </w:tr>
      <w:tr>
        <w:trPr>
          <w:cantSplit/>
        </w:trPr>
        <w:tc>
          <w:tcPr>
            <w:tcW w:type="dxa" w:w="1850"/>
            <w:vAlign w:val="center"/>
            <w:tcMar>
              <w:top w:w="80" w:type="dxa"/>
              <w:start w:w="120" w:type="dxa"/>
              <w:bottom w:w="80" w:type="dxa"/>
              <w:end w:w="120" w:type="dxa"/>
            </w:tcMar>
          </w:tcPr>
          <w:p>
            <w:pPr>
              <w:spacing w:before="0" w:after="20" w:line="252" w:lineRule="auto"/>
              <w:jc w:val="left"/>
            </w:pPr>
            <w:r>
              <w:rPr>
                <w:color w:val="1D2733"/>
                <w:sz w:val="16"/>
              </w:rPr>
              <w:t>Training</w:t>
            </w:r>
          </w:p>
        </w:tc>
        <w:tc>
          <w:tcPr>
            <w:tcW w:type="dxa" w:w="3430"/>
            <w:vAlign w:val="center"/>
            <w:tcMar>
              <w:top w:w="80" w:type="dxa"/>
              <w:start w:w="120" w:type="dxa"/>
              <w:bottom w:w="80" w:type="dxa"/>
              <w:end w:w="120" w:type="dxa"/>
            </w:tcMar>
          </w:tcPr>
          <w:p>
            <w:pPr>
              <w:spacing w:before="0" w:after="20" w:line="252" w:lineRule="auto"/>
              <w:jc w:val="left"/>
            </w:pPr>
            <w:r>
              <w:rPr>
                <w:color w:val="1D2733"/>
                <w:sz w:val="16"/>
              </w:rPr>
              <w:t>Public courses, cohorts, enterprise skills and certification support</w:t>
            </w:r>
          </w:p>
        </w:tc>
        <w:tc>
          <w:tcPr>
            <w:tcW w:type="dxa" w:w="4080"/>
            <w:vAlign w:val="center"/>
            <w:tcMar>
              <w:top w:w="80" w:type="dxa"/>
              <w:start w:w="120" w:type="dxa"/>
              <w:bottom w:w="80" w:type="dxa"/>
              <w:end w:w="120" w:type="dxa"/>
            </w:tcMar>
          </w:tcPr>
          <w:p>
            <w:pPr>
              <w:spacing w:before="0" w:after="20" w:line="252" w:lineRule="auto"/>
              <w:jc w:val="left"/>
            </w:pPr>
            <w:r>
              <w:rPr>
                <w:color w:val="1D2733"/>
                <w:sz w:val="16"/>
              </w:rPr>
              <w:t>Learners, duration, instructor, lab, content, assessment and credential</w:t>
            </w:r>
          </w:p>
        </w:tc>
      </w:tr>
      <w:tr>
        <w:trPr>
          <w:cantSplit/>
        </w:trPr>
        <w:tc>
          <w:tcPr>
            <w:tcW w:type="dxa" w:w="1850"/>
            <w:vAlign w:val="center"/>
            <w:shd w:fill="FAFBFC"/>
            <w:tcMar>
              <w:top w:w="80" w:type="dxa"/>
              <w:start w:w="120" w:type="dxa"/>
              <w:bottom w:w="80" w:type="dxa"/>
              <w:end w:w="120" w:type="dxa"/>
            </w:tcMar>
          </w:tcPr>
          <w:p>
            <w:pPr>
              <w:spacing w:before="0" w:after="20" w:line="252" w:lineRule="auto"/>
              <w:jc w:val="left"/>
            </w:pPr>
            <w:r>
              <w:rPr>
                <w:color w:val="1D2733"/>
                <w:sz w:val="16"/>
              </w:rPr>
              <w:t>Advisory/research</w:t>
            </w:r>
          </w:p>
        </w:tc>
        <w:tc>
          <w:tcPr>
            <w:tcW w:type="dxa" w:w="3430"/>
            <w:vAlign w:val="center"/>
            <w:shd w:fill="FAFBFC"/>
            <w:tcMar>
              <w:top w:w="80" w:type="dxa"/>
              <w:start w:w="120" w:type="dxa"/>
              <w:bottom w:w="80" w:type="dxa"/>
              <w:end w:w="120" w:type="dxa"/>
            </w:tcMar>
          </w:tcPr>
          <w:p>
            <w:pPr>
              <w:spacing w:before="0" w:after="20" w:line="252" w:lineRule="auto"/>
              <w:jc w:val="left"/>
            </w:pPr>
            <w:r>
              <w:rPr>
                <w:color w:val="1D2733"/>
                <w:sz w:val="16"/>
              </w:rPr>
              <w:t>Strategy, architecture, security, analytics and innovation</w:t>
            </w:r>
          </w:p>
        </w:tc>
        <w:tc>
          <w:tcPr>
            <w:tcW w:type="dxa" w:w="4080"/>
            <w:vAlign w:val="center"/>
            <w:shd w:fill="FAFBFC"/>
            <w:tcMar>
              <w:top w:w="80" w:type="dxa"/>
              <w:start w:w="120" w:type="dxa"/>
              <w:bottom w:w="80" w:type="dxa"/>
              <w:end w:w="120" w:type="dxa"/>
            </w:tcMar>
          </w:tcPr>
          <w:p>
            <w:pPr>
              <w:spacing w:before="0" w:after="20" w:line="252" w:lineRule="auto"/>
              <w:jc w:val="left"/>
            </w:pPr>
            <w:r>
              <w:rPr>
                <w:color w:val="1D2733"/>
                <w:sz w:val="16"/>
              </w:rPr>
              <w:t>Scope, expertise, evidence, duration and deliverables</w:t>
            </w:r>
          </w:p>
        </w:tc>
      </w:tr>
      <w:tr>
        <w:trPr>
          <w:cantSplit/>
        </w:trPr>
        <w:tc>
          <w:tcPr>
            <w:tcW w:type="dxa" w:w="1850"/>
            <w:vAlign w:val="center"/>
            <w:tcMar>
              <w:top w:w="80" w:type="dxa"/>
              <w:start w:w="120" w:type="dxa"/>
              <w:bottom w:w="80" w:type="dxa"/>
              <w:end w:w="120" w:type="dxa"/>
            </w:tcMar>
          </w:tcPr>
          <w:p>
            <w:pPr>
              <w:spacing w:before="0" w:after="20" w:line="252" w:lineRule="auto"/>
              <w:jc w:val="left"/>
            </w:pPr>
            <w:r>
              <w:rPr>
                <w:color w:val="1D2733"/>
                <w:sz w:val="16"/>
              </w:rPr>
              <w:t>Partner/IP</w:t>
            </w:r>
          </w:p>
        </w:tc>
        <w:tc>
          <w:tcPr>
            <w:tcW w:type="dxa" w:w="3430"/>
            <w:vAlign w:val="center"/>
            <w:tcMar>
              <w:top w:w="80" w:type="dxa"/>
              <w:start w:w="120" w:type="dxa"/>
              <w:bottom w:w="80" w:type="dxa"/>
              <w:end w:w="120" w:type="dxa"/>
            </w:tcMar>
          </w:tcPr>
          <w:p>
            <w:pPr>
              <w:spacing w:before="0" w:after="20" w:line="252" w:lineRule="auto"/>
              <w:jc w:val="left"/>
            </w:pPr>
            <w:r>
              <w:rPr>
                <w:color w:val="1D2733"/>
                <w:sz w:val="16"/>
              </w:rPr>
              <w:t>OEM, reseller, white-label, marketplace, royalty and venture</w:t>
            </w:r>
          </w:p>
        </w:tc>
        <w:tc>
          <w:tcPr>
            <w:tcW w:type="dxa" w:w="4080"/>
            <w:vAlign w:val="center"/>
            <w:tcMar>
              <w:top w:w="80" w:type="dxa"/>
              <w:start w:w="120" w:type="dxa"/>
              <w:bottom w:w="80" w:type="dxa"/>
              <w:end w:w="120" w:type="dxa"/>
            </w:tcMar>
          </w:tcPr>
          <w:p>
            <w:pPr>
              <w:spacing w:before="0" w:after="20" w:line="252" w:lineRule="auto"/>
              <w:jc w:val="left"/>
            </w:pPr>
            <w:r>
              <w:rPr>
                <w:color w:val="1D2733"/>
                <w:sz w:val="16"/>
              </w:rPr>
              <w:t>Territory, rights, volume, support, IP, exclusivity and governance</w:t>
            </w:r>
          </w:p>
        </w:tc>
      </w:tr>
    </w:tbl>
    <w:p>
      <w:pPr>
        <w:pStyle w:val="Heading2"/>
      </w:pPr>
      <w:r>
        <w:t>RME and Rihuum OS packaging hypothesis</w:t>
      </w:r>
    </w:p>
    <w:p>
      <w:pPr>
        <w:pStyle w:val="ListBullet"/>
        <w:keepLines/>
      </w:pPr>
      <w:r>
        <w:rPr>
          <w:b/>
        </w:rPr>
        <w:t xml:space="preserve">RME Foundation: </w:t>
      </w:r>
      <w:r>
        <w:t>Core tenant, identity, policy, master records, audit, commercial entitlements, support and lifecycle controls included beneath every supported Rihuum product.</w:t>
      </w:r>
    </w:p>
    <w:p>
      <w:pPr>
        <w:pStyle w:val="ListBullet"/>
        <w:keepLines/>
      </w:pPr>
      <w:r>
        <w:rPr>
          <w:b/>
        </w:rPr>
        <w:t xml:space="preserve">Starter: </w:t>
      </w:r>
      <w:r>
        <w:t>RME Foundation plus a Rihuum OS CRM/workflow thin slice, standard reports, self-service knowledge and business-hours support for smaller organisations.</w:t>
      </w:r>
    </w:p>
    <w:p>
      <w:pPr>
        <w:pStyle w:val="ListBullet"/>
        <w:keepLines/>
      </w:pPr>
      <w:r>
        <w:rPr>
          <w:b/>
        </w:rPr>
        <w:t xml:space="preserve">Growth: </w:t>
      </w:r>
      <w:r>
        <w:t>More modules, integrations, automation, analytics, environments and customer-success support.</w:t>
      </w:r>
    </w:p>
    <w:p>
      <w:pPr>
        <w:pStyle w:val="ListBullet"/>
        <w:keepLines/>
      </w:pPr>
      <w:r>
        <w:rPr>
          <w:b/>
        </w:rPr>
        <w:t xml:space="preserve">Enterprise: </w:t>
      </w:r>
      <w:r>
        <w:t>Advanced identity, isolation, audit, SSO, private deployment options, contractual assurance, extended support and solution architecture.</w:t>
      </w:r>
    </w:p>
    <w:p>
      <w:pPr>
        <w:pStyle w:val="ListBullet"/>
        <w:keepLines/>
      </w:pPr>
      <w:r>
        <w:rPr>
          <w:b/>
        </w:rPr>
        <w:t xml:space="preserve">Sector editions: </w:t>
      </w:r>
      <w:r>
        <w:t>Configured workflows and integrations for Academy, hospitality, smart operations, fleet or other validated verticals.</w:t>
      </w:r>
    </w:p>
    <w:p>
      <w:pPr>
        <w:pStyle w:val="ListBullet"/>
        <w:keepLines/>
      </w:pPr>
      <w:r>
        <w:rPr>
          <w:b/>
        </w:rPr>
        <w:t xml:space="preserve">AI add-ons: </w:t>
      </w:r>
      <w:r>
        <w:t>Authorised knowledge, assistants and agents priced by capability/usage with guardrails, evaluation and audit included as baseline trust features.</w:t>
      </w:r>
    </w:p>
    <w:p>
      <w:pPr>
        <w:pStyle w:val="Heading2"/>
      </w:pPr>
      <w:r>
        <w:t>Licensing principles</w:t>
      </w:r>
    </w:p>
    <w:p>
      <w:pPr>
        <w:pStyle w:val="ListBullet"/>
        <w:keepLines/>
      </w:pPr>
      <w:r>
        <w:t>Use central entitlements and signed licence/activation records; define tenant, environment, module, user/device/asset, term and support rights.</w:t>
      </w:r>
    </w:p>
    <w:p>
      <w:pPr>
        <w:pStyle w:val="ListBullet"/>
        <w:keepLines/>
      </w:pPr>
      <w:r>
        <w:t>Permit reasonable offline operation for approved on-premise clients through time-bounded signed licences and auditable renewal, not brittle constant phone-home dependence.</w:t>
      </w:r>
    </w:p>
    <w:p>
      <w:pPr>
        <w:pStyle w:val="ListBullet"/>
        <w:keepLines/>
      </w:pPr>
      <w:r>
        <w:t>Do not collect unnecessary device or personal data for licence enforcement; provide an appeal/support path for false lockouts.</w:t>
      </w:r>
    </w:p>
    <w:p>
      <w:pPr>
        <w:pStyle w:val="ListBullet"/>
        <w:keepLines/>
      </w:pPr>
      <w:r>
        <w:t>Separate Rihuum-owned code, third-party/open-source components, client data/configuration and jointly developed IP in contracts and repositories.</w:t>
      </w:r>
    </w:p>
    <w:p>
      <w:pPr>
        <w:pStyle w:val="ListBullet"/>
        <w:keepLines/>
      </w:pPr>
      <w:r>
        <w:t>Security patches necessary to safely operate a supported product are not withheld as a premium feature.</w:t>
      </w:r>
    </w:p>
    <w:p>
      <w:pPr>
        <w:pStyle w:val="ListBullet"/>
        <w:keepLines/>
      </w:pPr>
      <w:r>
        <w:t>Define suspension, termination, export, deletion, renewal, support and end-of-life rights clearly.</w:t>
      </w:r>
    </w:p>
    <w:p>
      <w:pPr>
        <w:pStyle w:val="Heading2"/>
      </w:pPr>
      <w:r>
        <w:t>Pricing governance and unit economics</w:t>
      </w:r>
    </w:p>
    <w:p>
      <w:r>
        <w:t>Before approval, each price has a cost model covering infrastructure/vendor consumption, implementation labour, support, sales/channel cost, payment fees, warranty/returns, compliance and ongoing product investment. Track gross margin, contribution margin, acquisition cost, payback, retention, expansion and support cost by offer and segment. Discounting requires authority, reason, expiry and visibility; avoid one-off prices that create permanent support obligations without recurring funding.</w:t>
      </w:r>
    </w:p>
    <w:p>
      <w:pPr>
        <w:pStyle w:val="SmallNote"/>
      </w:pPr>
      <w:r>
        <w:t>This blueprint intentionally avoids invented naira or dollar prices. The commercial team should complete market interviews, competitor scope analysis and cost baselines, then submit a board-approved price book.</w:t>
      </w:r>
    </w:p>
    <w:p>
      <w:bookmarkStart w:id="28" w:name="sec28"/>
      <w:pPr>
        <w:pStyle w:val="Heading1"/>
        <w:keepNext/>
        <w:pageBreakBefore/>
      </w:pPr>
      <w:r>
        <w:t>SECTION 28 | Client Onboarding and Deployment Procedures</w:t>
      </w:r>
      <w:bookmarkEnd w:id="28"/>
    </w:p>
    <w:p>
      <w:pPr>
        <w:pStyle w:val="LeadCallout"/>
        <w:shd w:fill="F4F6F9"/>
        <w:pBdr>
          <w:left w:val="single" w:sz="18" w:space="8" w:color="C99A2E"/>
        </w:pBdr>
      </w:pPr>
      <w:r>
        <w:rPr>
          <w:b/>
          <w:color w:val="102A43"/>
        </w:rPr>
        <w:t xml:space="preserve">Client outcome: </w:t>
      </w:r>
      <w:r>
        <w:t>Onboarding is complete when the client can use, govern and obtain value from the solution safely - not when software is merely installed.</w:t>
      </w:r>
    </w:p>
    <w:p>
      <w:pPr>
        <w:pStyle w:val="Heading2"/>
      </w:pPr>
      <w:r>
        <w:t>End-to-end onboarding</w:t>
      </w:r>
    </w:p>
    <w:p>
      <w:pPr>
        <w:pStyle w:val="Caption"/>
      </w:pPr>
      <w:r>
        <w:t>Table 41. Client onboarding and deployment stages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350"/>
        <w:gridCol w:w="4990"/>
        <w:gridCol w:w="3020"/>
      </w:tblGrid>
      <w:tr>
        <w:trPr>
          <w:tblHeader w:val="true"/>
          <w:cantSplit/>
        </w:trPr>
        <w:tc>
          <w:tcPr>
            <w:tcW w:type="dxa" w:w="1350"/>
            <w:vAlign w:val="center"/>
            <w:shd w:fill="F2F4F7"/>
            <w:tcMar>
              <w:top w:w="80" w:type="dxa"/>
              <w:start w:w="120" w:type="dxa"/>
              <w:bottom w:w="80" w:type="dxa"/>
              <w:end w:w="120" w:type="dxa"/>
            </w:tcMar>
          </w:tcPr>
          <w:p>
            <w:pPr>
              <w:spacing w:before="0" w:after="0"/>
              <w:jc w:val="center"/>
            </w:pPr>
            <w:r>
              <w:rPr>
                <w:b/>
                <w:color w:val="102A43"/>
                <w:sz w:val="17"/>
              </w:rPr>
              <w:t>Stage</w:t>
            </w:r>
          </w:p>
        </w:tc>
        <w:tc>
          <w:tcPr>
            <w:tcW w:type="dxa" w:w="4990"/>
            <w:vAlign w:val="center"/>
            <w:shd w:fill="F2F4F7"/>
            <w:tcMar>
              <w:top w:w="80" w:type="dxa"/>
              <w:start w:w="120" w:type="dxa"/>
              <w:bottom w:w="80" w:type="dxa"/>
              <w:end w:w="120" w:type="dxa"/>
            </w:tcMar>
          </w:tcPr>
          <w:p>
            <w:pPr>
              <w:spacing w:before="0" w:after="0"/>
              <w:jc w:val="center"/>
            </w:pPr>
            <w:r>
              <w:rPr>
                <w:b/>
                <w:color w:val="102A43"/>
                <w:sz w:val="17"/>
              </w:rPr>
              <w:t>Rihuum activity</w:t>
            </w:r>
          </w:p>
        </w:tc>
        <w:tc>
          <w:tcPr>
            <w:tcW w:type="dxa" w:w="3020"/>
            <w:vAlign w:val="center"/>
            <w:shd w:fill="F2F4F7"/>
            <w:tcMar>
              <w:top w:w="80" w:type="dxa"/>
              <w:start w:w="120" w:type="dxa"/>
              <w:bottom w:w="80" w:type="dxa"/>
              <w:end w:w="120" w:type="dxa"/>
            </w:tcMar>
          </w:tcPr>
          <w:p>
            <w:pPr>
              <w:spacing w:before="0" w:after="0"/>
              <w:jc w:val="left"/>
            </w:pPr>
            <w:r>
              <w:rPr>
                <w:b/>
                <w:color w:val="102A43"/>
                <w:sz w:val="17"/>
              </w:rPr>
              <w:t>Client acceptance evidence</w:t>
            </w:r>
          </w:p>
        </w:tc>
      </w:tr>
      <w:tr>
        <w:trPr>
          <w:cantSplit/>
        </w:trPr>
        <w:tc>
          <w:tcPr>
            <w:tcW w:type="dxa" w:w="1350"/>
            <w:vAlign w:val="center"/>
            <w:tcMar>
              <w:top w:w="80" w:type="dxa"/>
              <w:start w:w="120" w:type="dxa"/>
              <w:bottom w:w="80" w:type="dxa"/>
              <w:end w:w="120" w:type="dxa"/>
            </w:tcMar>
          </w:tcPr>
          <w:p>
            <w:pPr>
              <w:spacing w:before="0" w:after="20" w:line="252" w:lineRule="auto"/>
              <w:jc w:val="left"/>
            </w:pPr>
            <w:r>
              <w:rPr>
                <w:color w:val="1D2733"/>
                <w:sz w:val="16"/>
              </w:rPr>
              <w:t>Qualify</w:t>
            </w:r>
          </w:p>
        </w:tc>
        <w:tc>
          <w:tcPr>
            <w:tcW w:type="dxa" w:w="4990"/>
            <w:vAlign w:val="center"/>
            <w:tcMar>
              <w:top w:w="80" w:type="dxa"/>
              <w:start w:w="120" w:type="dxa"/>
              <w:bottom w:w="80" w:type="dxa"/>
              <w:end w:w="120" w:type="dxa"/>
            </w:tcMar>
          </w:tcPr>
          <w:p>
            <w:pPr>
              <w:spacing w:before="0" w:after="20" w:line="252" w:lineRule="auto"/>
              <w:jc w:val="left"/>
            </w:pPr>
            <w:r>
              <w:rPr>
                <w:color w:val="1D2733"/>
                <w:sz w:val="16"/>
              </w:rPr>
              <w:t>Confirm buyer, problem, budget, timing, authority, risk, fit and conflicts</w:t>
            </w:r>
          </w:p>
        </w:tc>
        <w:tc>
          <w:tcPr>
            <w:tcW w:type="dxa" w:w="3020"/>
            <w:vAlign w:val="center"/>
            <w:tcMar>
              <w:top w:w="80" w:type="dxa"/>
              <w:start w:w="120" w:type="dxa"/>
              <w:bottom w:w="80" w:type="dxa"/>
              <w:end w:w="120" w:type="dxa"/>
            </w:tcMar>
          </w:tcPr>
          <w:p>
            <w:pPr>
              <w:spacing w:before="0" w:after="20" w:line="252" w:lineRule="auto"/>
              <w:jc w:val="left"/>
            </w:pPr>
            <w:r>
              <w:rPr>
                <w:color w:val="1D2733"/>
                <w:sz w:val="16"/>
              </w:rPr>
              <w:t>Mutual decision to discover or decline</w:t>
            </w:r>
          </w:p>
        </w:tc>
      </w:tr>
      <w:tr>
        <w:trPr>
          <w:cantSplit/>
        </w:trPr>
        <w:tc>
          <w:tcPr>
            <w:tcW w:type="dxa" w:w="1350"/>
            <w:vAlign w:val="center"/>
            <w:shd w:fill="FAFBFC"/>
            <w:tcMar>
              <w:top w:w="80" w:type="dxa"/>
              <w:start w:w="120" w:type="dxa"/>
              <w:bottom w:w="80" w:type="dxa"/>
              <w:end w:w="120" w:type="dxa"/>
            </w:tcMar>
          </w:tcPr>
          <w:p>
            <w:pPr>
              <w:spacing w:before="0" w:after="20" w:line="252" w:lineRule="auto"/>
              <w:jc w:val="left"/>
            </w:pPr>
            <w:r>
              <w:rPr>
                <w:color w:val="1D2733"/>
                <w:sz w:val="16"/>
              </w:rPr>
              <w:t>Discover</w:t>
            </w:r>
          </w:p>
        </w:tc>
        <w:tc>
          <w:tcPr>
            <w:tcW w:type="dxa" w:w="4990"/>
            <w:vAlign w:val="center"/>
            <w:shd w:fill="FAFBFC"/>
            <w:tcMar>
              <w:top w:w="80" w:type="dxa"/>
              <w:start w:w="120" w:type="dxa"/>
              <w:bottom w:w="80" w:type="dxa"/>
              <w:end w:w="120" w:type="dxa"/>
            </w:tcMar>
          </w:tcPr>
          <w:p>
            <w:pPr>
              <w:spacing w:before="0" w:after="20" w:line="252" w:lineRule="auto"/>
              <w:jc w:val="left"/>
            </w:pPr>
            <w:r>
              <w:rPr>
                <w:color w:val="1D2733"/>
                <w:sz w:val="16"/>
              </w:rPr>
              <w:t>Map goals, users, process, data, systems, sites, controls, support and baseline</w:t>
            </w:r>
          </w:p>
        </w:tc>
        <w:tc>
          <w:tcPr>
            <w:tcW w:type="dxa" w:w="3020"/>
            <w:vAlign w:val="center"/>
            <w:shd w:fill="FAFBFC"/>
            <w:tcMar>
              <w:top w:w="80" w:type="dxa"/>
              <w:start w:w="120" w:type="dxa"/>
              <w:bottom w:w="80" w:type="dxa"/>
              <w:end w:w="120" w:type="dxa"/>
            </w:tcMar>
          </w:tcPr>
          <w:p>
            <w:pPr>
              <w:spacing w:before="0" w:after="20" w:line="252" w:lineRule="auto"/>
              <w:jc w:val="left"/>
            </w:pPr>
            <w:r>
              <w:rPr>
                <w:color w:val="1D2733"/>
                <w:sz w:val="16"/>
              </w:rPr>
              <w:t>Validated discovery record and priority outcomes</w:t>
            </w:r>
          </w:p>
        </w:tc>
      </w:tr>
      <w:tr>
        <w:trPr>
          <w:cantSplit/>
        </w:trPr>
        <w:tc>
          <w:tcPr>
            <w:tcW w:type="dxa" w:w="1350"/>
            <w:vAlign w:val="center"/>
            <w:tcMar>
              <w:top w:w="80" w:type="dxa"/>
              <w:start w:w="120" w:type="dxa"/>
              <w:bottom w:w="80" w:type="dxa"/>
              <w:end w:w="120" w:type="dxa"/>
            </w:tcMar>
          </w:tcPr>
          <w:p>
            <w:pPr>
              <w:spacing w:before="0" w:after="20" w:line="252" w:lineRule="auto"/>
              <w:jc w:val="left"/>
            </w:pPr>
            <w:r>
              <w:rPr>
                <w:color w:val="1D2733"/>
                <w:sz w:val="16"/>
              </w:rPr>
              <w:t>Contract</w:t>
            </w:r>
          </w:p>
        </w:tc>
        <w:tc>
          <w:tcPr>
            <w:tcW w:type="dxa" w:w="4990"/>
            <w:vAlign w:val="center"/>
            <w:tcMar>
              <w:top w:w="80" w:type="dxa"/>
              <w:start w:w="120" w:type="dxa"/>
              <w:bottom w:w="80" w:type="dxa"/>
              <w:end w:w="120" w:type="dxa"/>
            </w:tcMar>
          </w:tcPr>
          <w:p>
            <w:pPr>
              <w:spacing w:before="0" w:after="20" w:line="252" w:lineRule="auto"/>
              <w:jc w:val="left"/>
            </w:pPr>
            <w:r>
              <w:rPr>
                <w:color w:val="1D2733"/>
                <w:sz w:val="16"/>
              </w:rPr>
              <w:t>Proposal/SOW, responsibilities, milestones, fees, licence, SLA, data/security and change control</w:t>
            </w:r>
          </w:p>
        </w:tc>
        <w:tc>
          <w:tcPr>
            <w:tcW w:type="dxa" w:w="3020"/>
            <w:vAlign w:val="center"/>
            <w:tcMar>
              <w:top w:w="80" w:type="dxa"/>
              <w:start w:w="120" w:type="dxa"/>
              <w:bottom w:w="80" w:type="dxa"/>
              <w:end w:w="120" w:type="dxa"/>
            </w:tcMar>
          </w:tcPr>
          <w:p>
            <w:pPr>
              <w:spacing w:before="0" w:after="20" w:line="252" w:lineRule="auto"/>
              <w:jc w:val="left"/>
            </w:pPr>
            <w:r>
              <w:rPr>
                <w:color w:val="1D2733"/>
                <w:sz w:val="16"/>
              </w:rPr>
              <w:t>Signed agreement and authorised contacts</w:t>
            </w:r>
          </w:p>
        </w:tc>
      </w:tr>
      <w:tr>
        <w:trPr>
          <w:cantSplit/>
        </w:trPr>
        <w:tc>
          <w:tcPr>
            <w:tcW w:type="dxa" w:w="1350"/>
            <w:vAlign w:val="center"/>
            <w:shd w:fill="FAFBFC"/>
            <w:tcMar>
              <w:top w:w="80" w:type="dxa"/>
              <w:start w:w="120" w:type="dxa"/>
              <w:bottom w:w="80" w:type="dxa"/>
              <w:end w:w="120" w:type="dxa"/>
            </w:tcMar>
          </w:tcPr>
          <w:p>
            <w:pPr>
              <w:spacing w:before="0" w:after="20" w:line="252" w:lineRule="auto"/>
              <w:jc w:val="left"/>
            </w:pPr>
            <w:r>
              <w:rPr>
                <w:color w:val="1D2733"/>
                <w:sz w:val="16"/>
              </w:rPr>
              <w:t>Prepare</w:t>
            </w:r>
          </w:p>
        </w:tc>
        <w:tc>
          <w:tcPr>
            <w:tcW w:type="dxa" w:w="4990"/>
            <w:vAlign w:val="center"/>
            <w:shd w:fill="FAFBFC"/>
            <w:tcMar>
              <w:top w:w="80" w:type="dxa"/>
              <w:start w:w="120" w:type="dxa"/>
              <w:bottom w:w="80" w:type="dxa"/>
              <w:end w:w="120" w:type="dxa"/>
            </w:tcMar>
          </w:tcPr>
          <w:p>
            <w:pPr>
              <w:spacing w:before="0" w:after="20" w:line="252" w:lineRule="auto"/>
              <w:jc w:val="left"/>
            </w:pPr>
            <w:r>
              <w:rPr>
                <w:color w:val="1D2733"/>
                <w:sz w:val="16"/>
              </w:rPr>
              <w:t>Project plan, tenant/environment, identities, data plan, integrations, risk/DPIA, training and go-live</w:t>
            </w:r>
          </w:p>
        </w:tc>
        <w:tc>
          <w:tcPr>
            <w:tcW w:type="dxa" w:w="3020"/>
            <w:vAlign w:val="center"/>
            <w:shd w:fill="FAFBFC"/>
            <w:tcMar>
              <w:top w:w="80" w:type="dxa"/>
              <w:start w:w="120" w:type="dxa"/>
              <w:bottom w:w="80" w:type="dxa"/>
              <w:end w:w="120" w:type="dxa"/>
            </w:tcMar>
          </w:tcPr>
          <w:p>
            <w:pPr>
              <w:spacing w:before="0" w:after="20" w:line="252" w:lineRule="auto"/>
              <w:jc w:val="left"/>
            </w:pPr>
            <w:r>
              <w:rPr>
                <w:color w:val="1D2733"/>
                <w:sz w:val="16"/>
              </w:rPr>
              <w:t>Readiness checklist and approved design</w:t>
            </w:r>
          </w:p>
        </w:tc>
      </w:tr>
      <w:tr>
        <w:trPr>
          <w:cantSplit/>
        </w:trPr>
        <w:tc>
          <w:tcPr>
            <w:tcW w:type="dxa" w:w="1350"/>
            <w:vAlign w:val="center"/>
            <w:tcMar>
              <w:top w:w="80" w:type="dxa"/>
              <w:start w:w="120" w:type="dxa"/>
              <w:bottom w:w="80" w:type="dxa"/>
              <w:end w:w="120" w:type="dxa"/>
            </w:tcMar>
          </w:tcPr>
          <w:p>
            <w:pPr>
              <w:spacing w:before="0" w:after="20" w:line="252" w:lineRule="auto"/>
              <w:jc w:val="left"/>
            </w:pPr>
            <w:r>
              <w:rPr>
                <w:color w:val="1D2733"/>
                <w:sz w:val="16"/>
              </w:rPr>
              <w:t>Configure/build</w:t>
            </w:r>
          </w:p>
        </w:tc>
        <w:tc>
          <w:tcPr>
            <w:tcW w:type="dxa" w:w="4990"/>
            <w:vAlign w:val="center"/>
            <w:tcMar>
              <w:top w:w="80" w:type="dxa"/>
              <w:start w:w="120" w:type="dxa"/>
              <w:bottom w:w="80" w:type="dxa"/>
              <w:end w:w="120" w:type="dxa"/>
            </w:tcMar>
          </w:tcPr>
          <w:p>
            <w:pPr>
              <w:spacing w:before="0" w:after="20" w:line="252" w:lineRule="auto"/>
              <w:jc w:val="left"/>
            </w:pPr>
            <w:r>
              <w:rPr>
                <w:color w:val="1D2733"/>
                <w:sz w:val="16"/>
              </w:rPr>
              <w:t>Configure modules, implement integrations, migrate/test data, document and demonstrate</w:t>
            </w:r>
          </w:p>
        </w:tc>
        <w:tc>
          <w:tcPr>
            <w:tcW w:type="dxa" w:w="3020"/>
            <w:vAlign w:val="center"/>
            <w:tcMar>
              <w:top w:w="80" w:type="dxa"/>
              <w:start w:w="120" w:type="dxa"/>
              <w:bottom w:w="80" w:type="dxa"/>
              <w:end w:w="120" w:type="dxa"/>
            </w:tcMar>
          </w:tcPr>
          <w:p>
            <w:pPr>
              <w:spacing w:before="0" w:after="20" w:line="252" w:lineRule="auto"/>
              <w:jc w:val="left"/>
            </w:pPr>
            <w:r>
              <w:rPr>
                <w:color w:val="1D2733"/>
                <w:sz w:val="16"/>
              </w:rPr>
              <w:t>Iteration acceptance and issue log</w:t>
            </w:r>
          </w:p>
        </w:tc>
      </w:tr>
      <w:tr>
        <w:trPr>
          <w:cantSplit/>
        </w:trPr>
        <w:tc>
          <w:tcPr>
            <w:tcW w:type="dxa" w:w="1350"/>
            <w:vAlign w:val="center"/>
            <w:shd w:fill="FAFBFC"/>
            <w:tcMar>
              <w:top w:w="80" w:type="dxa"/>
              <w:start w:w="120" w:type="dxa"/>
              <w:bottom w:w="80" w:type="dxa"/>
              <w:end w:w="120" w:type="dxa"/>
            </w:tcMar>
          </w:tcPr>
          <w:p>
            <w:pPr>
              <w:spacing w:before="0" w:after="20" w:line="252" w:lineRule="auto"/>
              <w:jc w:val="left"/>
            </w:pPr>
            <w:r>
              <w:rPr>
                <w:color w:val="1D2733"/>
                <w:sz w:val="16"/>
              </w:rPr>
              <w:t>Validate</w:t>
            </w:r>
          </w:p>
        </w:tc>
        <w:tc>
          <w:tcPr>
            <w:tcW w:type="dxa" w:w="4990"/>
            <w:vAlign w:val="center"/>
            <w:shd w:fill="FAFBFC"/>
            <w:tcMar>
              <w:top w:w="80" w:type="dxa"/>
              <w:start w:w="120" w:type="dxa"/>
              <w:bottom w:w="80" w:type="dxa"/>
              <w:end w:w="120" w:type="dxa"/>
            </w:tcMar>
          </w:tcPr>
          <w:p>
            <w:pPr>
              <w:spacing w:before="0" w:after="20" w:line="252" w:lineRule="auto"/>
              <w:jc w:val="left"/>
            </w:pPr>
            <w:r>
              <w:rPr>
                <w:color w:val="1D2733"/>
                <w:sz w:val="16"/>
              </w:rPr>
              <w:t>UAT, security, privacy, performance, migration, recovery, operations and support rehearsal</w:t>
            </w:r>
          </w:p>
        </w:tc>
        <w:tc>
          <w:tcPr>
            <w:tcW w:type="dxa" w:w="3020"/>
            <w:vAlign w:val="center"/>
            <w:shd w:fill="FAFBFC"/>
            <w:tcMar>
              <w:top w:w="80" w:type="dxa"/>
              <w:start w:w="120" w:type="dxa"/>
              <w:bottom w:w="80" w:type="dxa"/>
              <w:end w:w="120" w:type="dxa"/>
            </w:tcMar>
          </w:tcPr>
          <w:p>
            <w:pPr>
              <w:spacing w:before="0" w:after="20" w:line="252" w:lineRule="auto"/>
              <w:jc w:val="left"/>
            </w:pPr>
            <w:r>
              <w:rPr>
                <w:color w:val="1D2733"/>
                <w:sz w:val="16"/>
              </w:rPr>
              <w:t>Signed UAT/readiness decision and residual risk</w:t>
            </w:r>
          </w:p>
        </w:tc>
      </w:tr>
      <w:tr>
        <w:trPr>
          <w:cantSplit/>
        </w:trPr>
        <w:tc>
          <w:tcPr>
            <w:tcW w:type="dxa" w:w="1350"/>
            <w:vAlign w:val="center"/>
            <w:tcMar>
              <w:top w:w="80" w:type="dxa"/>
              <w:start w:w="120" w:type="dxa"/>
              <w:bottom w:w="80" w:type="dxa"/>
              <w:end w:w="120" w:type="dxa"/>
            </w:tcMar>
          </w:tcPr>
          <w:p>
            <w:pPr>
              <w:spacing w:before="0" w:after="20" w:line="252" w:lineRule="auto"/>
              <w:jc w:val="left"/>
            </w:pPr>
            <w:r>
              <w:rPr>
                <w:color w:val="1D2733"/>
                <w:sz w:val="16"/>
              </w:rPr>
              <w:t>Go live</w:t>
            </w:r>
          </w:p>
        </w:tc>
        <w:tc>
          <w:tcPr>
            <w:tcW w:type="dxa" w:w="4990"/>
            <w:vAlign w:val="center"/>
            <w:tcMar>
              <w:top w:w="80" w:type="dxa"/>
              <w:start w:w="120" w:type="dxa"/>
              <w:bottom w:w="80" w:type="dxa"/>
              <w:end w:w="120" w:type="dxa"/>
            </w:tcMar>
          </w:tcPr>
          <w:p>
            <w:pPr>
              <w:spacing w:before="0" w:after="20" w:line="252" w:lineRule="auto"/>
              <w:jc w:val="left"/>
            </w:pPr>
            <w:r>
              <w:rPr>
                <w:color w:val="1D2733"/>
                <w:sz w:val="16"/>
              </w:rPr>
              <w:t>Final backup/cutover, smoke tests, monitoring, communications and hypercare</w:t>
            </w:r>
          </w:p>
        </w:tc>
        <w:tc>
          <w:tcPr>
            <w:tcW w:type="dxa" w:w="3020"/>
            <w:vAlign w:val="center"/>
            <w:tcMar>
              <w:top w:w="80" w:type="dxa"/>
              <w:start w:w="120" w:type="dxa"/>
              <w:bottom w:w="80" w:type="dxa"/>
              <w:end w:w="120" w:type="dxa"/>
            </w:tcMar>
          </w:tcPr>
          <w:p>
            <w:pPr>
              <w:spacing w:before="0" w:after="20" w:line="252" w:lineRule="auto"/>
              <w:jc w:val="left"/>
            </w:pPr>
            <w:r>
              <w:rPr>
                <w:color w:val="1D2733"/>
                <w:sz w:val="16"/>
              </w:rPr>
              <w:t>Production acceptance and stable operation</w:t>
            </w:r>
          </w:p>
        </w:tc>
      </w:tr>
      <w:tr>
        <w:trPr>
          <w:cantSplit/>
        </w:trPr>
        <w:tc>
          <w:tcPr>
            <w:tcW w:type="dxa" w:w="1350"/>
            <w:vAlign w:val="center"/>
            <w:shd w:fill="FAFBFC"/>
            <w:tcMar>
              <w:top w:w="80" w:type="dxa"/>
              <w:start w:w="120" w:type="dxa"/>
              <w:bottom w:w="80" w:type="dxa"/>
              <w:end w:w="120" w:type="dxa"/>
            </w:tcMar>
          </w:tcPr>
          <w:p>
            <w:pPr>
              <w:spacing w:before="0" w:after="20" w:line="252" w:lineRule="auto"/>
              <w:jc w:val="left"/>
            </w:pPr>
            <w:r>
              <w:rPr>
                <w:color w:val="1D2733"/>
                <w:sz w:val="16"/>
              </w:rPr>
              <w:t>Adopt</w:t>
            </w:r>
          </w:p>
        </w:tc>
        <w:tc>
          <w:tcPr>
            <w:tcW w:type="dxa" w:w="4990"/>
            <w:vAlign w:val="center"/>
            <w:shd w:fill="FAFBFC"/>
            <w:tcMar>
              <w:top w:w="80" w:type="dxa"/>
              <w:start w:w="120" w:type="dxa"/>
              <w:bottom w:w="80" w:type="dxa"/>
              <w:end w:w="120" w:type="dxa"/>
            </w:tcMar>
          </w:tcPr>
          <w:p>
            <w:pPr>
              <w:spacing w:before="0" w:after="20" w:line="252" w:lineRule="auto"/>
              <w:jc w:val="left"/>
            </w:pPr>
            <w:r>
              <w:rPr>
                <w:color w:val="1D2733"/>
                <w:sz w:val="16"/>
              </w:rPr>
              <w:t>Training, usage review, outcome tracking, support and optimisation</w:t>
            </w:r>
          </w:p>
        </w:tc>
        <w:tc>
          <w:tcPr>
            <w:tcW w:type="dxa" w:w="3020"/>
            <w:vAlign w:val="center"/>
            <w:shd w:fill="FAFBFC"/>
            <w:tcMar>
              <w:top w:w="80" w:type="dxa"/>
              <w:start w:w="120" w:type="dxa"/>
              <w:bottom w:w="80" w:type="dxa"/>
              <w:end w:w="120" w:type="dxa"/>
            </w:tcMar>
          </w:tcPr>
          <w:p>
            <w:pPr>
              <w:spacing w:before="0" w:after="20" w:line="252" w:lineRule="auto"/>
              <w:jc w:val="left"/>
            </w:pPr>
            <w:r>
              <w:rPr>
                <w:color w:val="1D2733"/>
                <w:sz w:val="16"/>
              </w:rPr>
              <w:t>Adoption/outcome review and improvement plan</w:t>
            </w:r>
          </w:p>
        </w:tc>
      </w:tr>
      <w:tr>
        <w:trPr>
          <w:cantSplit/>
        </w:trPr>
        <w:tc>
          <w:tcPr>
            <w:tcW w:type="dxa" w:w="1350"/>
            <w:vAlign w:val="center"/>
            <w:tcMar>
              <w:top w:w="80" w:type="dxa"/>
              <w:start w:w="120" w:type="dxa"/>
              <w:bottom w:w="80" w:type="dxa"/>
              <w:end w:w="120" w:type="dxa"/>
            </w:tcMar>
          </w:tcPr>
          <w:p>
            <w:pPr>
              <w:spacing w:before="0" w:after="20" w:line="252" w:lineRule="auto"/>
              <w:jc w:val="left"/>
            </w:pPr>
            <w:r>
              <w:rPr>
                <w:color w:val="1D2733"/>
                <w:sz w:val="16"/>
              </w:rPr>
              <w:t>Renew/expand/exit</w:t>
            </w:r>
          </w:p>
        </w:tc>
        <w:tc>
          <w:tcPr>
            <w:tcW w:type="dxa" w:w="4990"/>
            <w:vAlign w:val="center"/>
            <w:tcMar>
              <w:top w:w="80" w:type="dxa"/>
              <w:start w:w="120" w:type="dxa"/>
              <w:bottom w:w="80" w:type="dxa"/>
              <w:end w:w="120" w:type="dxa"/>
            </w:tcMar>
          </w:tcPr>
          <w:p>
            <w:pPr>
              <w:spacing w:before="0" w:after="20" w:line="252" w:lineRule="auto"/>
              <w:jc w:val="left"/>
            </w:pPr>
            <w:r>
              <w:rPr>
                <w:color w:val="1D2733"/>
                <w:sz w:val="16"/>
              </w:rPr>
              <w:t>Value review, commercial renewal, new modules or controlled export/termination</w:t>
            </w:r>
          </w:p>
        </w:tc>
        <w:tc>
          <w:tcPr>
            <w:tcW w:type="dxa" w:w="3020"/>
            <w:vAlign w:val="center"/>
            <w:tcMar>
              <w:top w:w="80" w:type="dxa"/>
              <w:start w:w="120" w:type="dxa"/>
              <w:bottom w:w="80" w:type="dxa"/>
              <w:end w:w="120" w:type="dxa"/>
            </w:tcMar>
          </w:tcPr>
          <w:p>
            <w:pPr>
              <w:spacing w:before="0" w:after="20" w:line="252" w:lineRule="auto"/>
              <w:jc w:val="left"/>
            </w:pPr>
            <w:r>
              <w:rPr>
                <w:color w:val="1D2733"/>
                <w:sz w:val="16"/>
              </w:rPr>
              <w:t>Renewal/expansion order or completed exit evidence</w:t>
            </w:r>
          </w:p>
        </w:tc>
      </w:tr>
    </w:tbl>
    <w:p>
      <w:pPr>
        <w:pStyle w:val="Heading2"/>
      </w:pPr>
      <w:r>
        <w:t>Client responsibility matrix</w:t>
      </w:r>
    </w:p>
    <w:p>
      <w:pPr>
        <w:pStyle w:val="ListBullet"/>
        <w:keepLines/>
      </w:pPr>
      <w:r>
        <w:t>Rihuum owns product quality, approved configuration, documented delivery, secure operation within its scope, support and transparent risk communication.</w:t>
      </w:r>
    </w:p>
    <w:p>
      <w:pPr>
        <w:pStyle w:val="ListBullet"/>
        <w:keepLines/>
      </w:pPr>
      <w:r>
        <w:t>The client owns timely decisions, accurate requirements, authorised data, user governance, internal change, agreed infrastructure/access and lawful business use.</w:t>
      </w:r>
    </w:p>
    <w:p>
      <w:pPr>
        <w:pStyle w:val="ListBullet"/>
        <w:keepLines/>
      </w:pPr>
      <w:r>
        <w:t>Shared responsibilities - security incident coordination, data migration validation, integration testing, business continuity, user adoption and third-party dependencies - are explicit in the SOW/RACI.</w:t>
      </w:r>
    </w:p>
    <w:p>
      <w:pPr>
        <w:pStyle w:val="ListBullet"/>
        <w:keepLines/>
      </w:pPr>
      <w:r>
        <w:t>Rihuum does not accept credentials through ordinary email/chat; use approved secure exchange and remove temporary access promptly.</w:t>
      </w:r>
    </w:p>
    <w:p>
      <w:pPr>
        <w:pStyle w:val="Heading2"/>
      </w:pPr>
      <w:r>
        <w:t>Deployment patterns</w:t>
      </w:r>
    </w:p>
    <w:p>
      <w:pPr>
        <w:pStyle w:val="Caption"/>
      </w:pPr>
      <w:r>
        <w:t>Table 42. Client deployment options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100"/>
        <w:gridCol w:w="3230"/>
        <w:gridCol w:w="4030"/>
      </w:tblGrid>
      <w:tr>
        <w:trPr>
          <w:tblHeader w:val="true"/>
          <w:cantSplit/>
        </w:trPr>
        <w:tc>
          <w:tcPr>
            <w:tcW w:type="dxa" w:w="2100"/>
            <w:vAlign w:val="center"/>
            <w:shd w:fill="F2F4F7"/>
            <w:tcMar>
              <w:top w:w="80" w:type="dxa"/>
              <w:start w:w="120" w:type="dxa"/>
              <w:bottom w:w="80" w:type="dxa"/>
              <w:end w:w="120" w:type="dxa"/>
            </w:tcMar>
          </w:tcPr>
          <w:p>
            <w:pPr>
              <w:spacing w:before="0" w:after="0"/>
              <w:jc w:val="center"/>
            </w:pPr>
            <w:r>
              <w:rPr>
                <w:b/>
                <w:color w:val="102A43"/>
                <w:sz w:val="18"/>
              </w:rPr>
              <w:t>Pattern</w:t>
            </w:r>
          </w:p>
        </w:tc>
        <w:tc>
          <w:tcPr>
            <w:tcW w:type="dxa" w:w="3230"/>
            <w:vAlign w:val="center"/>
            <w:shd w:fill="F2F4F7"/>
            <w:tcMar>
              <w:top w:w="80" w:type="dxa"/>
              <w:start w:w="120" w:type="dxa"/>
              <w:bottom w:w="80" w:type="dxa"/>
              <w:end w:w="120" w:type="dxa"/>
            </w:tcMar>
          </w:tcPr>
          <w:p>
            <w:pPr>
              <w:spacing w:before="0" w:after="0"/>
              <w:jc w:val="center"/>
            </w:pPr>
            <w:r>
              <w:rPr>
                <w:b/>
                <w:color w:val="102A43"/>
                <w:sz w:val="18"/>
              </w:rPr>
              <w:t>Use</w:t>
            </w:r>
          </w:p>
        </w:tc>
        <w:tc>
          <w:tcPr>
            <w:tcW w:type="dxa" w:w="4030"/>
            <w:vAlign w:val="center"/>
            <w:shd w:fill="F2F4F7"/>
            <w:tcMar>
              <w:top w:w="80" w:type="dxa"/>
              <w:start w:w="120" w:type="dxa"/>
              <w:bottom w:w="80" w:type="dxa"/>
              <w:end w:w="120" w:type="dxa"/>
            </w:tcMar>
          </w:tcPr>
          <w:p>
            <w:pPr>
              <w:spacing w:before="0" w:after="0"/>
              <w:jc w:val="center"/>
            </w:pPr>
            <w:r>
              <w:rPr>
                <w:b/>
                <w:color w:val="102A43"/>
                <w:sz w:val="18"/>
              </w:rPr>
              <w:t>Key control</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7"/>
              </w:rPr>
              <w:t>Shared multi-tenant SaaS</w:t>
            </w:r>
          </w:p>
        </w:tc>
        <w:tc>
          <w:tcPr>
            <w:tcW w:type="dxa" w:w="3230"/>
            <w:vAlign w:val="center"/>
            <w:tcMar>
              <w:top w:w="80" w:type="dxa"/>
              <w:start w:w="120" w:type="dxa"/>
              <w:bottom w:w="80" w:type="dxa"/>
              <w:end w:w="120" w:type="dxa"/>
            </w:tcMar>
          </w:tcPr>
          <w:p>
            <w:pPr>
              <w:spacing w:before="0" w:after="20" w:line="252" w:lineRule="auto"/>
              <w:jc w:val="left"/>
            </w:pPr>
            <w:r>
              <w:rPr>
                <w:color w:val="1D2733"/>
                <w:sz w:val="17"/>
              </w:rPr>
              <w:t>Standardised offer and fastest update path</w:t>
            </w:r>
          </w:p>
        </w:tc>
        <w:tc>
          <w:tcPr>
            <w:tcW w:type="dxa" w:w="4030"/>
            <w:vAlign w:val="center"/>
            <w:tcMar>
              <w:top w:w="80" w:type="dxa"/>
              <w:start w:w="120" w:type="dxa"/>
              <w:bottom w:w="80" w:type="dxa"/>
              <w:end w:w="120" w:type="dxa"/>
            </w:tcMar>
          </w:tcPr>
          <w:p>
            <w:pPr>
              <w:spacing w:before="0" w:after="20" w:line="252" w:lineRule="auto"/>
              <w:jc w:val="left"/>
            </w:pPr>
            <w:r>
              <w:rPr>
                <w:color w:val="1D2733"/>
                <w:sz w:val="17"/>
              </w:rPr>
              <w:t>Tenant isolation, entitlements, usage, privacy and shared-service reliability</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7"/>
              </w:rPr>
              <w:t>Dedicated hosted</w:t>
            </w:r>
          </w:p>
        </w:tc>
        <w:tc>
          <w:tcPr>
            <w:tcW w:type="dxa" w:w="3230"/>
            <w:vAlign w:val="center"/>
            <w:shd w:fill="FAFBFC"/>
            <w:tcMar>
              <w:top w:w="80" w:type="dxa"/>
              <w:start w:w="120" w:type="dxa"/>
              <w:bottom w:w="80" w:type="dxa"/>
              <w:end w:w="120" w:type="dxa"/>
            </w:tcMar>
          </w:tcPr>
          <w:p>
            <w:pPr>
              <w:spacing w:before="0" w:after="20" w:line="252" w:lineRule="auto"/>
              <w:jc w:val="left"/>
            </w:pPr>
            <w:r>
              <w:rPr>
                <w:color w:val="1D2733"/>
                <w:sz w:val="17"/>
              </w:rPr>
              <w:t>Higher isolation, performance or client configuration</w:t>
            </w:r>
          </w:p>
        </w:tc>
        <w:tc>
          <w:tcPr>
            <w:tcW w:type="dxa" w:w="4030"/>
            <w:vAlign w:val="center"/>
            <w:shd w:fill="FAFBFC"/>
            <w:tcMar>
              <w:top w:w="80" w:type="dxa"/>
              <w:start w:w="120" w:type="dxa"/>
              <w:bottom w:w="80" w:type="dxa"/>
              <w:end w:w="120" w:type="dxa"/>
            </w:tcMar>
          </w:tcPr>
          <w:p>
            <w:pPr>
              <w:spacing w:before="0" w:after="20" w:line="252" w:lineRule="auto"/>
              <w:jc w:val="left"/>
            </w:pPr>
            <w:r>
              <w:rPr>
                <w:color w:val="1D2733"/>
                <w:sz w:val="17"/>
              </w:rPr>
              <w:t>Automated dedicated environment, cost allocation and lifecycle parity</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7"/>
              </w:rPr>
              <w:t>Client cloud/private cloud</w:t>
            </w:r>
          </w:p>
        </w:tc>
        <w:tc>
          <w:tcPr>
            <w:tcW w:type="dxa" w:w="3230"/>
            <w:vAlign w:val="center"/>
            <w:tcMar>
              <w:top w:w="80" w:type="dxa"/>
              <w:start w:w="120" w:type="dxa"/>
              <w:bottom w:w="80" w:type="dxa"/>
              <w:end w:w="120" w:type="dxa"/>
            </w:tcMar>
          </w:tcPr>
          <w:p>
            <w:pPr>
              <w:spacing w:before="0" w:after="20" w:line="252" w:lineRule="auto"/>
              <w:jc w:val="left"/>
            </w:pPr>
            <w:r>
              <w:rPr>
                <w:color w:val="1D2733"/>
                <w:sz w:val="17"/>
              </w:rPr>
              <w:t>Enterprise governance, residency or integration</w:t>
            </w:r>
          </w:p>
        </w:tc>
        <w:tc>
          <w:tcPr>
            <w:tcW w:type="dxa" w:w="4030"/>
            <w:vAlign w:val="center"/>
            <w:tcMar>
              <w:top w:w="80" w:type="dxa"/>
              <w:start w:w="120" w:type="dxa"/>
              <w:bottom w:w="80" w:type="dxa"/>
              <w:end w:w="120" w:type="dxa"/>
            </w:tcMar>
          </w:tcPr>
          <w:p>
            <w:pPr>
              <w:spacing w:before="0" w:after="20" w:line="252" w:lineRule="auto"/>
              <w:jc w:val="left"/>
            </w:pPr>
            <w:r>
              <w:rPr>
                <w:color w:val="1D2733"/>
                <w:sz w:val="17"/>
              </w:rPr>
              <w:t>Shared-responsibility model, access, deployment, telemetry and support connectivity</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7"/>
              </w:rPr>
              <w:t>On-premise/edge</w:t>
            </w:r>
          </w:p>
        </w:tc>
        <w:tc>
          <w:tcPr>
            <w:tcW w:type="dxa" w:w="3230"/>
            <w:vAlign w:val="center"/>
            <w:shd w:fill="FAFBFC"/>
            <w:tcMar>
              <w:top w:w="80" w:type="dxa"/>
              <w:start w:w="120" w:type="dxa"/>
              <w:bottom w:w="80" w:type="dxa"/>
              <w:end w:w="120" w:type="dxa"/>
            </w:tcMar>
          </w:tcPr>
          <w:p>
            <w:pPr>
              <w:spacing w:before="0" w:after="20" w:line="252" w:lineRule="auto"/>
              <w:jc w:val="left"/>
            </w:pPr>
            <w:r>
              <w:rPr>
                <w:color w:val="1D2733"/>
                <w:sz w:val="17"/>
              </w:rPr>
              <w:t>Sites, devices, intermittent links or regulated infrastructure</w:t>
            </w:r>
          </w:p>
        </w:tc>
        <w:tc>
          <w:tcPr>
            <w:tcW w:type="dxa" w:w="4030"/>
            <w:vAlign w:val="center"/>
            <w:shd w:fill="FAFBFC"/>
            <w:tcMar>
              <w:top w:w="80" w:type="dxa"/>
              <w:start w:w="120" w:type="dxa"/>
              <w:bottom w:w="80" w:type="dxa"/>
              <w:end w:w="120" w:type="dxa"/>
            </w:tcMar>
          </w:tcPr>
          <w:p>
            <w:pPr>
              <w:spacing w:before="0" w:after="20" w:line="252" w:lineRule="auto"/>
              <w:jc w:val="left"/>
            </w:pPr>
            <w:r>
              <w:rPr>
                <w:color w:val="1D2733"/>
                <w:sz w:val="17"/>
              </w:rPr>
              <w:t>Signed releases, offline licence, secure update, backup, monitoring and field support</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7"/>
              </w:rPr>
              <w:t>Hybrid</w:t>
            </w:r>
          </w:p>
        </w:tc>
        <w:tc>
          <w:tcPr>
            <w:tcW w:type="dxa" w:w="3230"/>
            <w:vAlign w:val="center"/>
            <w:tcMar>
              <w:top w:w="80" w:type="dxa"/>
              <w:start w:w="120" w:type="dxa"/>
              <w:bottom w:w="80" w:type="dxa"/>
              <w:end w:w="120" w:type="dxa"/>
            </w:tcMar>
          </w:tcPr>
          <w:p>
            <w:pPr>
              <w:spacing w:before="0" w:after="20" w:line="252" w:lineRule="auto"/>
              <w:jc w:val="left"/>
            </w:pPr>
            <w:r>
              <w:rPr>
                <w:color w:val="1D2733"/>
                <w:sz w:val="17"/>
              </w:rPr>
              <w:t>Cloud control/data services plus edge/site operations</w:t>
            </w:r>
          </w:p>
        </w:tc>
        <w:tc>
          <w:tcPr>
            <w:tcW w:type="dxa" w:w="4030"/>
            <w:vAlign w:val="center"/>
            <w:tcMar>
              <w:top w:w="80" w:type="dxa"/>
              <w:start w:w="120" w:type="dxa"/>
              <w:bottom w:w="80" w:type="dxa"/>
              <w:end w:w="120" w:type="dxa"/>
            </w:tcMar>
          </w:tcPr>
          <w:p>
            <w:pPr>
              <w:spacing w:before="0" w:after="20" w:line="252" w:lineRule="auto"/>
              <w:jc w:val="left"/>
            </w:pPr>
            <w:r>
              <w:rPr>
                <w:color w:val="1D2733"/>
                <w:sz w:val="17"/>
              </w:rPr>
              <w:t>Clear trust boundaries, synchronisation, failure behaviour and data movement</w:t>
            </w:r>
          </w:p>
        </w:tc>
      </w:tr>
    </w:tbl>
    <w:p>
      <w:pPr>
        <w:pStyle w:val="Heading2"/>
      </w:pPr>
      <w:r>
        <w:t>Offboarding</w:t>
      </w:r>
    </w:p>
    <w:p>
      <w:r>
        <w:t>Confirm termination authority, charges, support/end date, legal hold, client data export format, transfer method, deletion/return, identity/access removal, devices/assets, DNS/integrations, licences, vendor accounts and final reconciliation. Produce an offboarding certificate/record describing what was exported, retained under authority and deleted, subject to technical and legal limits.</w:t>
      </w:r>
    </w:p>
    <w:p>
      <w:bookmarkStart w:id="29" w:name="sec29"/>
      <w:pPr>
        <w:pStyle w:val="Heading1"/>
        <w:keepNext/>
        <w:pageBreakBefore/>
      </w:pPr>
      <w:r>
        <w:t>SECTION 29 | Staff Recruitment, Training, and Performance Management</w:t>
      </w:r>
      <w:bookmarkEnd w:id="29"/>
    </w:p>
    <w:p>
      <w:pPr>
        <w:pStyle w:val="LeadCallout"/>
        <w:shd w:fill="F4F6F9"/>
        <w:pBdr>
          <w:left w:val="single" w:sz="18" w:space="8" w:color="C99A2E"/>
        </w:pBdr>
      </w:pPr>
      <w:r>
        <w:rPr>
          <w:b/>
          <w:color w:val="102A43"/>
        </w:rPr>
        <w:t xml:space="preserve">People strategy: </w:t>
      </w:r>
      <w:r>
        <w:t>Recruit for accountability, learning and ethical judgement as well as technical skill. Use the Academy as a talent pipeline, but do not place inexperienced staff alone in high-risk production, security, financial or client decisions.</w:t>
      </w:r>
    </w:p>
    <w:p>
      <w:pPr>
        <w:pStyle w:val="Heading2"/>
      </w:pPr>
      <w:r>
        <w:t>Workforce planning</w:t>
      </w:r>
    </w:p>
    <w:p>
      <w:pPr>
        <w:pStyle w:val="ListBullet"/>
        <w:keepLines/>
      </w:pPr>
      <w:r>
        <w:t>Derive roles from the approved portfolio, client commitments, control requirements and capacity forecast.</w:t>
      </w:r>
    </w:p>
    <w:p>
      <w:pPr>
        <w:pStyle w:val="ListBullet"/>
        <w:keepLines/>
      </w:pPr>
      <w:r>
        <w:t>Define each role's outcomes, decision rights, skills, security/data access, reporting line, backup and development path before recruiting.</w:t>
      </w:r>
    </w:p>
    <w:p>
      <w:pPr>
        <w:pStyle w:val="ListBullet"/>
        <w:keepLines/>
      </w:pPr>
      <w:r>
        <w:t>Use employees for enduring core capability and accountable ownership; use contractors/partners for time-bounded or specialist needs with IP, confidentiality, access and exit controls.</w:t>
      </w:r>
    </w:p>
    <w:p>
      <w:pPr>
        <w:pStyle w:val="ListBullet"/>
        <w:keepLines/>
      </w:pPr>
      <w:r>
        <w:t>Maintain succession and key-person plans for company administration, product, infrastructure, security, finance, client relationships and vendor accounts.</w:t>
      </w:r>
    </w:p>
    <w:p>
      <w:pPr>
        <w:pStyle w:val="Heading2"/>
      </w:pPr>
      <w:r>
        <w:t>Recruitment and onboarding</w:t>
      </w:r>
    </w:p>
    <w:p>
      <w:pPr>
        <w:pStyle w:val="ListNumber"/>
        <w:keepLines/>
        <w:numPr>
          <w:ilvl w:val="0"/>
          <w:numId w:val="22"/>
        </w:numPr>
      </w:pPr>
      <w:r>
        <w:t>Approve the role, cost, employment/contract basis, outcomes and assessment rubric.</w:t>
      </w:r>
    </w:p>
    <w:p>
      <w:pPr>
        <w:pStyle w:val="ListNumber"/>
        <w:keepLines/>
        <w:numPr>
          <w:ilvl w:val="0"/>
          <w:numId w:val="22"/>
        </w:numPr>
      </w:pPr>
      <w:r>
        <w:t>Use structured screening and practical, job-relevant assessment; do not request unnecessary personal data.</w:t>
      </w:r>
    </w:p>
    <w:p>
      <w:pPr>
        <w:pStyle w:val="ListNumber"/>
        <w:keepLines/>
        <w:numPr>
          <w:ilvl w:val="0"/>
          <w:numId w:val="22"/>
        </w:numPr>
      </w:pPr>
      <w:r>
        <w:t>Verify identity, qualifications/references and conflicts proportionate to the role and law; document fair selection.</w:t>
      </w:r>
    </w:p>
    <w:p>
      <w:pPr>
        <w:pStyle w:val="ListNumber"/>
        <w:keepLines/>
        <w:numPr>
          <w:ilvl w:val="0"/>
          <w:numId w:val="22"/>
        </w:numPr>
      </w:pPr>
      <w:r>
        <w:t>Execute employment/contract, confidentiality, IP assignment, acceptable-use, data-protection and conflict obligations.</w:t>
      </w:r>
    </w:p>
    <w:p>
      <w:pPr>
        <w:pStyle w:val="ListNumber"/>
        <w:keepLines/>
        <w:numPr>
          <w:ilvl w:val="0"/>
          <w:numId w:val="22"/>
        </w:numPr>
      </w:pPr>
      <w:r>
        <w:t>Provision least-privilege access, approved devices/tools, security training, role induction, mentor and first 30/60/90-day outcomes.</w:t>
      </w:r>
    </w:p>
    <w:p>
      <w:pPr>
        <w:pStyle w:val="ListNumber"/>
        <w:keepLines/>
        <w:numPr>
          <w:ilvl w:val="0"/>
          <w:numId w:val="22"/>
        </w:numPr>
      </w:pPr>
      <w:r>
        <w:t>Confirm performance and fit at defined checkpoints; close access and recover assets immediately on role change or exit.</w:t>
      </w:r>
    </w:p>
    <w:p>
      <w:pPr>
        <w:pStyle w:val="Heading2"/>
      </w:pPr>
      <w:r>
        <w:t>Rihuum Technology and Digital Hub</w:t>
      </w:r>
    </w:p>
    <w:p>
      <w:r>
        <w:t>The Academy is both a commercial education unit and Rihuum's workforce-development engine. Programmes should be designed from job/task outcomes, not tool popularity. Each programme requires curriculum ownership, prerequisites, learning outcomes, instructor standard, practical labs, assessment/moderation, learner support, accessibility, academic-integrity controls, credential verification and outcome measurement. The Academy's separate CAC registration number must be verified and displayed wherever legally required before public document release.</w:t>
      </w:r>
    </w:p>
    <w:p>
      <w:pPr>
        <w:pStyle w:val="Caption"/>
      </w:pPr>
      <w:r>
        <w:t>Table 43. Academy programme architecture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100"/>
        <w:gridCol w:w="4010"/>
        <w:gridCol w:w="3250"/>
      </w:tblGrid>
      <w:tr>
        <w:trPr>
          <w:tblHeader w:val="true"/>
          <w:cantSplit/>
        </w:trPr>
        <w:tc>
          <w:tcPr>
            <w:tcW w:type="dxa" w:w="2100"/>
            <w:vAlign w:val="center"/>
            <w:shd w:fill="F2F4F7"/>
            <w:tcMar>
              <w:top w:w="80" w:type="dxa"/>
              <w:start w:w="120" w:type="dxa"/>
              <w:bottom w:w="80" w:type="dxa"/>
              <w:end w:w="120" w:type="dxa"/>
            </w:tcMar>
          </w:tcPr>
          <w:p>
            <w:pPr>
              <w:spacing w:before="0" w:after="0"/>
              <w:jc w:val="center"/>
            </w:pPr>
            <w:r>
              <w:rPr>
                <w:b/>
                <w:color w:val="102A43"/>
                <w:sz w:val="17"/>
              </w:rPr>
              <w:t>Track</w:t>
            </w:r>
          </w:p>
        </w:tc>
        <w:tc>
          <w:tcPr>
            <w:tcW w:type="dxa" w:w="4010"/>
            <w:vAlign w:val="center"/>
            <w:shd w:fill="F2F4F7"/>
            <w:tcMar>
              <w:top w:w="80" w:type="dxa"/>
              <w:start w:w="120" w:type="dxa"/>
              <w:bottom w:w="80" w:type="dxa"/>
              <w:end w:w="120" w:type="dxa"/>
            </w:tcMar>
          </w:tcPr>
          <w:p>
            <w:pPr>
              <w:spacing w:before="0" w:after="0"/>
              <w:jc w:val="center"/>
            </w:pPr>
            <w:r>
              <w:rPr>
                <w:b/>
                <w:color w:val="102A43"/>
                <w:sz w:val="17"/>
              </w:rPr>
              <w:t>Examples</w:t>
            </w:r>
          </w:p>
        </w:tc>
        <w:tc>
          <w:tcPr>
            <w:tcW w:type="dxa" w:w="3250"/>
            <w:vAlign w:val="center"/>
            <w:shd w:fill="F2F4F7"/>
            <w:tcMar>
              <w:top w:w="80" w:type="dxa"/>
              <w:start w:w="120" w:type="dxa"/>
              <w:bottom w:w="80" w:type="dxa"/>
              <w:end w:w="120" w:type="dxa"/>
            </w:tcMar>
          </w:tcPr>
          <w:p>
            <w:pPr>
              <w:spacing w:before="0" w:after="0"/>
              <w:jc w:val="left"/>
            </w:pPr>
            <w:r>
              <w:rPr>
                <w:b/>
                <w:color w:val="102A43"/>
                <w:sz w:val="17"/>
              </w:rPr>
              <w:t>Outcome evidence</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Digital foundations</w:t>
            </w:r>
          </w:p>
        </w:tc>
        <w:tc>
          <w:tcPr>
            <w:tcW w:type="dxa" w:w="4010"/>
            <w:vAlign w:val="center"/>
            <w:tcMar>
              <w:top w:w="80" w:type="dxa"/>
              <w:start w:w="120" w:type="dxa"/>
              <w:bottom w:w="80" w:type="dxa"/>
              <w:end w:w="120" w:type="dxa"/>
            </w:tcMar>
          </w:tcPr>
          <w:p>
            <w:pPr>
              <w:spacing w:before="0" w:after="20" w:line="252" w:lineRule="auto"/>
              <w:jc w:val="left"/>
            </w:pPr>
            <w:r>
              <w:rPr>
                <w:color w:val="1D2733"/>
                <w:sz w:val="16"/>
              </w:rPr>
              <w:t>Productivity, internet safety, data literacy, communication and employability</w:t>
            </w:r>
          </w:p>
        </w:tc>
        <w:tc>
          <w:tcPr>
            <w:tcW w:type="dxa" w:w="3250"/>
            <w:vAlign w:val="center"/>
            <w:tcMar>
              <w:top w:w="80" w:type="dxa"/>
              <w:start w:w="120" w:type="dxa"/>
              <w:bottom w:w="80" w:type="dxa"/>
              <w:end w:w="120" w:type="dxa"/>
            </w:tcMar>
          </w:tcPr>
          <w:p>
            <w:pPr>
              <w:spacing w:before="0" w:after="20" w:line="252" w:lineRule="auto"/>
              <w:jc w:val="left"/>
            </w:pPr>
            <w:r>
              <w:rPr>
                <w:color w:val="1D2733"/>
                <w:sz w:val="16"/>
              </w:rPr>
              <w:t>Practical tasks and digital portfolio</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Software and product</w:t>
            </w:r>
          </w:p>
        </w:tc>
        <w:tc>
          <w:tcPr>
            <w:tcW w:type="dxa" w:w="4010"/>
            <w:vAlign w:val="center"/>
            <w:shd w:fill="FAFBFC"/>
            <w:tcMar>
              <w:top w:w="80" w:type="dxa"/>
              <w:start w:w="120" w:type="dxa"/>
              <w:bottom w:w="80" w:type="dxa"/>
              <w:end w:w="120" w:type="dxa"/>
            </w:tcMar>
          </w:tcPr>
          <w:p>
            <w:pPr>
              <w:spacing w:before="0" w:after="20" w:line="252" w:lineRule="auto"/>
              <w:jc w:val="left"/>
            </w:pPr>
            <w:r>
              <w:rPr>
                <w:color w:val="1D2733"/>
                <w:sz w:val="16"/>
              </w:rPr>
              <w:t>Web/mobile, APIs, databases, QA, UX, product and DevSecOps</w:t>
            </w:r>
          </w:p>
        </w:tc>
        <w:tc>
          <w:tcPr>
            <w:tcW w:type="dxa" w:w="3250"/>
            <w:vAlign w:val="center"/>
            <w:shd w:fill="FAFBFC"/>
            <w:tcMar>
              <w:top w:w="80" w:type="dxa"/>
              <w:start w:w="120" w:type="dxa"/>
              <w:bottom w:w="80" w:type="dxa"/>
              <w:end w:w="120" w:type="dxa"/>
            </w:tcMar>
          </w:tcPr>
          <w:p>
            <w:pPr>
              <w:spacing w:before="0" w:after="20" w:line="252" w:lineRule="auto"/>
              <w:jc w:val="left"/>
            </w:pPr>
            <w:r>
              <w:rPr>
                <w:color w:val="1D2733"/>
                <w:sz w:val="16"/>
              </w:rPr>
              <w:t>Reviewed projects, tests, repository and demo</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AI and data</w:t>
            </w:r>
          </w:p>
        </w:tc>
        <w:tc>
          <w:tcPr>
            <w:tcW w:type="dxa" w:w="4010"/>
            <w:vAlign w:val="center"/>
            <w:tcMar>
              <w:top w:w="80" w:type="dxa"/>
              <w:start w:w="120" w:type="dxa"/>
              <w:bottom w:w="80" w:type="dxa"/>
              <w:end w:w="120" w:type="dxa"/>
            </w:tcMar>
          </w:tcPr>
          <w:p>
            <w:pPr>
              <w:spacing w:before="0" w:after="20" w:line="252" w:lineRule="auto"/>
              <w:jc w:val="left"/>
            </w:pPr>
            <w:r>
              <w:rPr>
                <w:color w:val="1D2733"/>
                <w:sz w:val="16"/>
              </w:rPr>
              <w:t>AI literacy, prompt/workflow design, analytics, ML, RIA and responsible AI</w:t>
            </w:r>
          </w:p>
        </w:tc>
        <w:tc>
          <w:tcPr>
            <w:tcW w:type="dxa" w:w="3250"/>
            <w:vAlign w:val="center"/>
            <w:tcMar>
              <w:top w:w="80" w:type="dxa"/>
              <w:start w:w="120" w:type="dxa"/>
              <w:bottom w:w="80" w:type="dxa"/>
              <w:end w:w="120" w:type="dxa"/>
            </w:tcMar>
          </w:tcPr>
          <w:p>
            <w:pPr>
              <w:spacing w:before="0" w:after="20" w:line="252" w:lineRule="auto"/>
              <w:jc w:val="left"/>
            </w:pPr>
            <w:r>
              <w:rPr>
                <w:color w:val="1D2733"/>
                <w:sz w:val="16"/>
              </w:rPr>
              <w:t>Evaluation report, governed prototype and use-case defence</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Cybersecurity/infrastructure</w:t>
            </w:r>
          </w:p>
        </w:tc>
        <w:tc>
          <w:tcPr>
            <w:tcW w:type="dxa" w:w="4010"/>
            <w:vAlign w:val="center"/>
            <w:shd w:fill="FAFBFC"/>
            <w:tcMar>
              <w:top w:w="80" w:type="dxa"/>
              <w:start w:w="120" w:type="dxa"/>
              <w:bottom w:w="80" w:type="dxa"/>
              <w:end w:w="120" w:type="dxa"/>
            </w:tcMar>
          </w:tcPr>
          <w:p>
            <w:pPr>
              <w:spacing w:before="0" w:after="20" w:line="252" w:lineRule="auto"/>
              <w:jc w:val="left"/>
            </w:pPr>
            <w:r>
              <w:rPr>
                <w:color w:val="1D2733"/>
                <w:sz w:val="16"/>
              </w:rPr>
              <w:t>Security fundamentals, networking, cloud, support and incident skills</w:t>
            </w:r>
          </w:p>
        </w:tc>
        <w:tc>
          <w:tcPr>
            <w:tcW w:type="dxa" w:w="3250"/>
            <w:vAlign w:val="center"/>
            <w:shd w:fill="FAFBFC"/>
            <w:tcMar>
              <w:top w:w="80" w:type="dxa"/>
              <w:start w:w="120" w:type="dxa"/>
              <w:bottom w:w="80" w:type="dxa"/>
              <w:end w:w="120" w:type="dxa"/>
            </w:tcMar>
          </w:tcPr>
          <w:p>
            <w:pPr>
              <w:spacing w:before="0" w:after="20" w:line="252" w:lineRule="auto"/>
              <w:jc w:val="left"/>
            </w:pPr>
            <w:r>
              <w:rPr>
                <w:color w:val="1D2733"/>
                <w:sz w:val="16"/>
              </w:rPr>
              <w:t>Configured lab, troubleshooting and scenario assessment</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Smart systems</w:t>
            </w:r>
          </w:p>
        </w:tc>
        <w:tc>
          <w:tcPr>
            <w:tcW w:type="dxa" w:w="4010"/>
            <w:vAlign w:val="center"/>
            <w:tcMar>
              <w:top w:w="80" w:type="dxa"/>
              <w:start w:w="120" w:type="dxa"/>
              <w:bottom w:w="80" w:type="dxa"/>
              <w:end w:w="120" w:type="dxa"/>
            </w:tcMar>
          </w:tcPr>
          <w:p>
            <w:pPr>
              <w:spacing w:before="0" w:after="20" w:line="252" w:lineRule="auto"/>
              <w:jc w:val="left"/>
            </w:pPr>
            <w:r>
              <w:rPr>
                <w:color w:val="1D2733"/>
                <w:sz w:val="16"/>
              </w:rPr>
              <w:t>CCTV, access, IoT, telematics, field safety and maintenance</w:t>
            </w:r>
          </w:p>
        </w:tc>
        <w:tc>
          <w:tcPr>
            <w:tcW w:type="dxa" w:w="3250"/>
            <w:vAlign w:val="center"/>
            <w:tcMar>
              <w:top w:w="80" w:type="dxa"/>
              <w:start w:w="120" w:type="dxa"/>
              <w:bottom w:w="80" w:type="dxa"/>
              <w:end w:w="120" w:type="dxa"/>
            </w:tcMar>
          </w:tcPr>
          <w:p>
            <w:pPr>
              <w:spacing w:before="0" w:after="20" w:line="252" w:lineRule="auto"/>
              <w:jc w:val="left"/>
            </w:pPr>
            <w:r>
              <w:rPr>
                <w:color w:val="1D2733"/>
                <w:sz w:val="16"/>
              </w:rPr>
              <w:t>Site/lab installation, documentation and acceptance test</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Leadership and transformation</w:t>
            </w:r>
          </w:p>
        </w:tc>
        <w:tc>
          <w:tcPr>
            <w:tcW w:type="dxa" w:w="4010"/>
            <w:vAlign w:val="center"/>
            <w:shd w:fill="FAFBFC"/>
            <w:tcMar>
              <w:top w:w="80" w:type="dxa"/>
              <w:start w:w="120" w:type="dxa"/>
              <w:bottom w:w="80" w:type="dxa"/>
              <w:end w:w="120" w:type="dxa"/>
            </w:tcMar>
          </w:tcPr>
          <w:p>
            <w:pPr>
              <w:spacing w:before="0" w:after="20" w:line="252" w:lineRule="auto"/>
              <w:jc w:val="left"/>
            </w:pPr>
            <w:r>
              <w:rPr>
                <w:color w:val="1D2733"/>
                <w:sz w:val="16"/>
              </w:rPr>
              <w:t>Strategy, process, product ownership, data governance and change</w:t>
            </w:r>
          </w:p>
        </w:tc>
        <w:tc>
          <w:tcPr>
            <w:tcW w:type="dxa" w:w="3250"/>
            <w:vAlign w:val="center"/>
            <w:shd w:fill="FAFBFC"/>
            <w:tcMar>
              <w:top w:w="80" w:type="dxa"/>
              <w:start w:w="120" w:type="dxa"/>
              <w:bottom w:w="80" w:type="dxa"/>
              <w:end w:w="120" w:type="dxa"/>
            </w:tcMar>
          </w:tcPr>
          <w:p>
            <w:pPr>
              <w:spacing w:before="0" w:after="20" w:line="252" w:lineRule="auto"/>
              <w:jc w:val="left"/>
            </w:pPr>
            <w:r>
              <w:rPr>
                <w:color w:val="1D2733"/>
                <w:sz w:val="16"/>
              </w:rPr>
              <w:t>Organisation-specific transformation plan</w:t>
            </w:r>
          </w:p>
        </w:tc>
      </w:tr>
    </w:tbl>
    <w:p>
      <w:pPr>
        <w:pStyle w:val="Heading2"/>
      </w:pPr>
      <w:r>
        <w:t>Performance management</w:t>
      </w:r>
    </w:p>
    <w:p>
      <w:pPr>
        <w:pStyle w:val="ListBullet"/>
        <w:keepLines/>
      </w:pPr>
      <w:r>
        <w:t>Quarterly objectives connect enterprise priorities to measurable team and individual outcomes.</w:t>
      </w:r>
    </w:p>
    <w:p>
      <w:pPr>
        <w:pStyle w:val="ListBullet"/>
        <w:keepLines/>
      </w:pPr>
      <w:r>
        <w:t>Performance includes delivery, quality, customer value, security/privacy, documentation, teamwork, learning and conduct - not volume of activity alone.</w:t>
      </w:r>
    </w:p>
    <w:p>
      <w:pPr>
        <w:pStyle w:val="ListBullet"/>
        <w:keepLines/>
      </w:pPr>
      <w:r>
        <w:t>Managers provide frequent feedback; formal reviews use evidence, recognise constraints and define support or corrective plans.</w:t>
      </w:r>
    </w:p>
    <w:p>
      <w:pPr>
        <w:pStyle w:val="ListBullet"/>
        <w:keepLines/>
      </w:pPr>
      <w:r>
        <w:t>Promotion requires sustained next-level scope and behaviour; technical and management career paths are both available.</w:t>
      </w:r>
    </w:p>
    <w:p>
      <w:pPr>
        <w:pStyle w:val="ListBullet"/>
        <w:keepLines/>
      </w:pPr>
      <w:r>
        <w:t>Training is tracked by applied competence and business result, not certificates alone.</w:t>
      </w:r>
    </w:p>
    <w:p>
      <w:bookmarkStart w:id="30" w:name="sec30"/>
      <w:pPr>
        <w:pStyle w:val="Heading1"/>
        <w:keepNext/>
        <w:pageBreakBefore/>
      </w:pPr>
      <w:r>
        <w:t>SECTION 30 | Risk Management and Business Continuity</w:t>
      </w:r>
      <w:bookmarkEnd w:id="30"/>
    </w:p>
    <w:p>
      <w:pPr>
        <w:pStyle w:val="LeadCallout"/>
        <w:shd w:fill="F4F6F9"/>
        <w:pBdr>
          <w:left w:val="single" w:sz="18" w:space="8" w:color="C99A2E"/>
        </w:pBdr>
      </w:pPr>
      <w:r>
        <w:rPr>
          <w:b/>
          <w:color w:val="102A43"/>
        </w:rPr>
        <w:t xml:space="preserve">Risk governance: </w:t>
      </w:r>
      <w:r>
        <w:t>Rihuum accepts risk consciously through named owners and approved appetite; it does not accept risk because nobody recorded it.</w:t>
      </w:r>
    </w:p>
    <w:p>
      <w:pPr>
        <w:pStyle w:val="Heading2"/>
      </w:pPr>
      <w:r>
        <w:t>Enterprise risk process</w:t>
      </w:r>
    </w:p>
    <w:p>
      <w:pPr>
        <w:pStyle w:val="ListNumber"/>
        <w:keepLines/>
        <w:numPr>
          <w:ilvl w:val="0"/>
          <w:numId w:val="23"/>
        </w:numPr>
      </w:pPr>
      <w:r>
        <w:t>Identify risk from strategy, products, clients, legal duties, technology, people, vendors, assets and external change.</w:t>
      </w:r>
    </w:p>
    <w:p>
      <w:pPr>
        <w:pStyle w:val="ListNumber"/>
        <w:keepLines/>
        <w:numPr>
          <w:ilvl w:val="0"/>
          <w:numId w:val="23"/>
        </w:numPr>
      </w:pPr>
      <w:r>
        <w:t>Describe cause, uncertain event and consequence; identify affected objectives and existing controls.</w:t>
      </w:r>
    </w:p>
    <w:p>
      <w:pPr>
        <w:pStyle w:val="ListNumber"/>
        <w:keepLines/>
        <w:numPr>
          <w:ilvl w:val="0"/>
          <w:numId w:val="23"/>
        </w:numPr>
      </w:pPr>
      <w:r>
        <w:t>Assess likelihood and impact across financial, client, service, legal, security/privacy, safety and reputation dimensions.</w:t>
      </w:r>
    </w:p>
    <w:p>
      <w:pPr>
        <w:pStyle w:val="ListNumber"/>
        <w:keepLines/>
        <w:numPr>
          <w:ilvl w:val="0"/>
          <w:numId w:val="23"/>
        </w:numPr>
      </w:pPr>
      <w:r>
        <w:t>Choose treatment: avoid, reduce, transfer/share or accept; name owner, action, budget, due date and residual risk.</w:t>
      </w:r>
    </w:p>
    <w:p>
      <w:pPr>
        <w:pStyle w:val="ListNumber"/>
        <w:keepLines/>
        <w:numPr>
          <w:ilvl w:val="0"/>
          <w:numId w:val="23"/>
        </w:numPr>
      </w:pPr>
      <w:r>
        <w:t>Monitor indicators and control evidence; escalate appetite breaches and overdue high-risk treatments.</w:t>
      </w:r>
    </w:p>
    <w:p>
      <w:pPr>
        <w:pStyle w:val="ListNumber"/>
        <w:keepLines/>
        <w:numPr>
          <w:ilvl w:val="0"/>
          <w:numId w:val="23"/>
        </w:numPr>
      </w:pPr>
      <w:r>
        <w:t>Review monthly for management, quarterly for board priority risks and immediately after material events.</w:t>
      </w:r>
    </w:p>
    <w:p>
      <w:pPr>
        <w:pStyle w:val="Heading2"/>
      </w:pPr>
      <w:r>
        <w:t>Priority risk register</w:t>
      </w:r>
    </w:p>
    <w:p>
      <w:pPr>
        <w:pStyle w:val="Caption"/>
      </w:pPr>
      <w:r>
        <w:t>Table 44. Initial enterprise risks and treatments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3100"/>
        <w:gridCol w:w="4670"/>
        <w:gridCol w:w="1590"/>
      </w:tblGrid>
      <w:tr>
        <w:trPr>
          <w:tblHeader w:val="true"/>
          <w:cantSplit/>
        </w:trPr>
        <w:tc>
          <w:tcPr>
            <w:tcW w:type="dxa" w:w="3100"/>
            <w:vAlign w:val="center"/>
            <w:shd w:fill="F2F4F7"/>
            <w:tcMar>
              <w:top w:w="80" w:type="dxa"/>
              <w:start w:w="120" w:type="dxa"/>
              <w:bottom w:w="80" w:type="dxa"/>
              <w:end w:w="120" w:type="dxa"/>
            </w:tcMar>
          </w:tcPr>
          <w:p>
            <w:pPr>
              <w:spacing w:before="0" w:after="0"/>
              <w:jc w:val="center"/>
            </w:pPr>
            <w:r>
              <w:rPr>
                <w:b/>
                <w:color w:val="102A43"/>
                <w:sz w:val="17"/>
              </w:rPr>
              <w:t>Risk</w:t>
            </w:r>
          </w:p>
        </w:tc>
        <w:tc>
          <w:tcPr>
            <w:tcW w:type="dxa" w:w="4670"/>
            <w:vAlign w:val="center"/>
            <w:shd w:fill="F2F4F7"/>
            <w:tcMar>
              <w:top w:w="80" w:type="dxa"/>
              <w:start w:w="120" w:type="dxa"/>
              <w:bottom w:w="80" w:type="dxa"/>
              <w:end w:w="120" w:type="dxa"/>
            </w:tcMar>
          </w:tcPr>
          <w:p>
            <w:pPr>
              <w:spacing w:before="0" w:after="0"/>
              <w:jc w:val="left"/>
            </w:pPr>
            <w:r>
              <w:rPr>
                <w:b/>
                <w:color w:val="102A43"/>
                <w:sz w:val="17"/>
              </w:rPr>
              <w:t>Principal treatment</w:t>
            </w:r>
          </w:p>
        </w:tc>
        <w:tc>
          <w:tcPr>
            <w:tcW w:type="dxa" w:w="1590"/>
            <w:vAlign w:val="center"/>
            <w:shd w:fill="F2F4F7"/>
            <w:tcMar>
              <w:top w:w="80" w:type="dxa"/>
              <w:start w:w="120" w:type="dxa"/>
              <w:bottom w:w="80" w:type="dxa"/>
              <w:end w:w="120" w:type="dxa"/>
            </w:tcMar>
          </w:tcPr>
          <w:p>
            <w:pPr>
              <w:spacing w:before="0" w:after="0"/>
              <w:jc w:val="center"/>
            </w:pPr>
            <w:r>
              <w:rPr>
                <w:b/>
                <w:color w:val="102A43"/>
                <w:sz w:val="17"/>
              </w:rPr>
              <w:t>Owner</w:t>
            </w:r>
          </w:p>
        </w:tc>
      </w:tr>
      <w:tr>
        <w:trPr>
          <w:cantSplit/>
        </w:trPr>
        <w:tc>
          <w:tcPr>
            <w:tcW w:type="dxa" w:w="3100"/>
            <w:vAlign w:val="center"/>
            <w:tcMar>
              <w:top w:w="80" w:type="dxa"/>
              <w:start w:w="120" w:type="dxa"/>
              <w:bottom w:w="80" w:type="dxa"/>
              <w:end w:w="120" w:type="dxa"/>
            </w:tcMar>
          </w:tcPr>
          <w:p>
            <w:pPr>
              <w:spacing w:before="0" w:after="20" w:line="252" w:lineRule="auto"/>
              <w:jc w:val="left"/>
            </w:pPr>
            <w:r>
              <w:rPr>
                <w:color w:val="1D2733"/>
                <w:sz w:val="16"/>
              </w:rPr>
              <w:t>Portfolio overextension</w:t>
            </w:r>
          </w:p>
        </w:tc>
        <w:tc>
          <w:tcPr>
            <w:tcW w:type="dxa" w:w="4670"/>
            <w:vAlign w:val="center"/>
            <w:tcMar>
              <w:top w:w="80" w:type="dxa"/>
              <w:start w:w="120" w:type="dxa"/>
              <w:bottom w:w="80" w:type="dxa"/>
              <w:end w:w="120" w:type="dxa"/>
            </w:tcMar>
          </w:tcPr>
          <w:p>
            <w:pPr>
              <w:spacing w:before="0" w:after="20" w:line="252" w:lineRule="auto"/>
              <w:jc w:val="left"/>
            </w:pPr>
            <w:r>
              <w:rPr>
                <w:color w:val="1D2733"/>
                <w:sz w:val="16"/>
              </w:rPr>
              <w:t>Stage gates, capacity limits, product owner and stop/pause decisions</w:t>
            </w:r>
          </w:p>
        </w:tc>
        <w:tc>
          <w:tcPr>
            <w:tcW w:type="dxa" w:w="1590"/>
            <w:vAlign w:val="center"/>
            <w:tcMar>
              <w:top w:w="80" w:type="dxa"/>
              <w:start w:w="120" w:type="dxa"/>
              <w:bottom w:w="80" w:type="dxa"/>
              <w:end w:w="120" w:type="dxa"/>
            </w:tcMar>
          </w:tcPr>
          <w:p>
            <w:pPr>
              <w:spacing w:before="0" w:after="20" w:line="252" w:lineRule="auto"/>
              <w:jc w:val="left"/>
            </w:pPr>
            <w:r>
              <w:rPr>
                <w:color w:val="1D2733"/>
                <w:sz w:val="16"/>
              </w:rPr>
              <w:t>CEO / Portfolio Committee</w:t>
            </w:r>
          </w:p>
        </w:tc>
      </w:tr>
      <w:tr>
        <w:trPr>
          <w:cantSplit/>
        </w:trPr>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6"/>
              </w:rPr>
              <w:t>Cash-flow and collections</w:t>
            </w:r>
          </w:p>
        </w:tc>
        <w:tc>
          <w:tcPr>
            <w:tcW w:type="dxa" w:w="4670"/>
            <w:vAlign w:val="center"/>
            <w:shd w:fill="FAFBFC"/>
            <w:tcMar>
              <w:top w:w="80" w:type="dxa"/>
              <w:start w:w="120" w:type="dxa"/>
              <w:bottom w:w="80" w:type="dxa"/>
              <w:end w:w="120" w:type="dxa"/>
            </w:tcMar>
          </w:tcPr>
          <w:p>
            <w:pPr>
              <w:spacing w:before="0" w:after="20" w:line="252" w:lineRule="auto"/>
              <w:jc w:val="left"/>
            </w:pPr>
            <w:r>
              <w:rPr>
                <w:color w:val="1D2733"/>
                <w:sz w:val="16"/>
              </w:rPr>
              <w:t>Rolling forecast, deposits/milestones, receivables control, margin review and contingency</w:t>
            </w:r>
          </w:p>
        </w:tc>
        <w:tc>
          <w:tcPr>
            <w:tcW w:type="dxa" w:w="1590"/>
            <w:vAlign w:val="center"/>
            <w:shd w:fill="FAFBFC"/>
            <w:tcMar>
              <w:top w:w="80" w:type="dxa"/>
              <w:start w:w="120" w:type="dxa"/>
              <w:bottom w:w="80" w:type="dxa"/>
              <w:end w:w="120" w:type="dxa"/>
            </w:tcMar>
          </w:tcPr>
          <w:p>
            <w:pPr>
              <w:spacing w:before="0" w:after="20" w:line="252" w:lineRule="auto"/>
              <w:jc w:val="center"/>
            </w:pPr>
            <w:r>
              <w:rPr>
                <w:color w:val="1D2733"/>
                <w:sz w:val="16"/>
              </w:rPr>
              <w:t>Finance / CEO</w:t>
            </w:r>
          </w:p>
        </w:tc>
      </w:tr>
      <w:tr>
        <w:trPr>
          <w:cantSplit/>
        </w:trPr>
        <w:tc>
          <w:tcPr>
            <w:tcW w:type="dxa" w:w="3100"/>
            <w:vAlign w:val="center"/>
            <w:tcMar>
              <w:top w:w="80" w:type="dxa"/>
              <w:start w:w="120" w:type="dxa"/>
              <w:bottom w:w="80" w:type="dxa"/>
              <w:end w:w="120" w:type="dxa"/>
            </w:tcMar>
          </w:tcPr>
          <w:p>
            <w:pPr>
              <w:spacing w:before="0" w:after="20" w:line="252" w:lineRule="auto"/>
              <w:jc w:val="left"/>
            </w:pPr>
            <w:r>
              <w:rPr>
                <w:color w:val="1D2733"/>
                <w:sz w:val="16"/>
              </w:rPr>
              <w:t>Unverified legal records or licences</w:t>
            </w:r>
          </w:p>
        </w:tc>
        <w:tc>
          <w:tcPr>
            <w:tcW w:type="dxa" w:w="4670"/>
            <w:vAlign w:val="center"/>
            <w:tcMar>
              <w:top w:w="80" w:type="dxa"/>
              <w:start w:w="120" w:type="dxa"/>
              <w:bottom w:w="80" w:type="dxa"/>
              <w:end w:w="120" w:type="dxa"/>
            </w:tcMar>
          </w:tcPr>
          <w:p>
            <w:pPr>
              <w:spacing w:before="0" w:after="20" w:line="252" w:lineRule="auto"/>
              <w:jc w:val="left"/>
            </w:pPr>
            <w:r>
              <w:rPr>
                <w:color w:val="1D2733"/>
                <w:sz w:val="16"/>
              </w:rPr>
              <w:t>Corporate/legal register, counsel review and pre-launch licensing checklist</w:t>
            </w:r>
          </w:p>
        </w:tc>
        <w:tc>
          <w:tcPr>
            <w:tcW w:type="dxa" w:w="1590"/>
            <w:vAlign w:val="center"/>
            <w:tcMar>
              <w:top w:w="80" w:type="dxa"/>
              <w:start w:w="120" w:type="dxa"/>
              <w:bottom w:w="80" w:type="dxa"/>
              <w:end w:w="120" w:type="dxa"/>
            </w:tcMar>
          </w:tcPr>
          <w:p>
            <w:pPr>
              <w:spacing w:before="0" w:after="20" w:line="252" w:lineRule="auto"/>
              <w:jc w:val="left"/>
            </w:pPr>
            <w:r>
              <w:rPr>
                <w:color w:val="1D2733"/>
                <w:sz w:val="16"/>
              </w:rPr>
              <w:t>Company Secretary</w:t>
            </w:r>
          </w:p>
        </w:tc>
      </w:tr>
      <w:tr>
        <w:trPr>
          <w:cantSplit/>
        </w:trPr>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6"/>
              </w:rPr>
              <w:t>Cyberattack or data breach</w:t>
            </w:r>
          </w:p>
        </w:tc>
        <w:tc>
          <w:tcPr>
            <w:tcW w:type="dxa" w:w="4670"/>
            <w:vAlign w:val="center"/>
            <w:shd w:fill="FAFBFC"/>
            <w:tcMar>
              <w:top w:w="80" w:type="dxa"/>
              <w:start w:w="120" w:type="dxa"/>
              <w:bottom w:w="80" w:type="dxa"/>
              <w:end w:w="120" w:type="dxa"/>
            </w:tcMar>
          </w:tcPr>
          <w:p>
            <w:pPr>
              <w:spacing w:before="0" w:after="20" w:line="252" w:lineRule="auto"/>
              <w:jc w:val="left"/>
            </w:pPr>
            <w:r>
              <w:rPr>
                <w:color w:val="1D2733"/>
                <w:sz w:val="16"/>
              </w:rPr>
              <w:t>Security baseline, monitoring, incident response, vendor controls, backup and exercises</w:t>
            </w:r>
          </w:p>
        </w:tc>
        <w:tc>
          <w:tcPr>
            <w:tcW w:type="dxa" w:w="1590"/>
            <w:vAlign w:val="center"/>
            <w:shd w:fill="FAFBFC"/>
            <w:tcMar>
              <w:top w:w="80" w:type="dxa"/>
              <w:start w:w="120" w:type="dxa"/>
              <w:bottom w:w="80" w:type="dxa"/>
              <w:end w:w="120" w:type="dxa"/>
            </w:tcMar>
          </w:tcPr>
          <w:p>
            <w:pPr>
              <w:spacing w:before="0" w:after="20" w:line="252" w:lineRule="auto"/>
              <w:jc w:val="left"/>
            </w:pPr>
            <w:r>
              <w:rPr>
                <w:color w:val="1D2733"/>
                <w:sz w:val="16"/>
              </w:rPr>
              <w:t>Security / CTO</w:t>
            </w:r>
          </w:p>
        </w:tc>
      </w:tr>
      <w:tr>
        <w:trPr>
          <w:cantSplit/>
        </w:trPr>
        <w:tc>
          <w:tcPr>
            <w:tcW w:type="dxa" w:w="3100"/>
            <w:vAlign w:val="center"/>
            <w:tcMar>
              <w:top w:w="80" w:type="dxa"/>
              <w:start w:w="120" w:type="dxa"/>
              <w:bottom w:w="80" w:type="dxa"/>
              <w:end w:w="120" w:type="dxa"/>
            </w:tcMar>
          </w:tcPr>
          <w:p>
            <w:pPr>
              <w:spacing w:before="0" w:after="20" w:line="252" w:lineRule="auto"/>
              <w:jc w:val="left"/>
            </w:pPr>
            <w:r>
              <w:rPr>
                <w:color w:val="1D2733"/>
                <w:sz w:val="16"/>
              </w:rPr>
              <w:t>Shared-hosting constraint/failure</w:t>
            </w:r>
          </w:p>
        </w:tc>
        <w:tc>
          <w:tcPr>
            <w:tcW w:type="dxa" w:w="4670"/>
            <w:vAlign w:val="center"/>
            <w:tcMar>
              <w:top w:w="80" w:type="dxa"/>
              <w:start w:w="120" w:type="dxa"/>
              <w:bottom w:w="80" w:type="dxa"/>
              <w:end w:w="120" w:type="dxa"/>
            </w:tcMar>
          </w:tcPr>
          <w:p>
            <w:pPr>
              <w:spacing w:before="0" w:after="20" w:line="252" w:lineRule="auto"/>
              <w:jc w:val="left"/>
            </w:pPr>
            <w:r>
              <w:rPr>
                <w:color w:val="1D2733"/>
                <w:sz w:val="16"/>
              </w:rPr>
              <w:t>Suitability rules, independent backups/status, portability and migration triggers</w:t>
            </w:r>
          </w:p>
        </w:tc>
        <w:tc>
          <w:tcPr>
            <w:tcW w:type="dxa" w:w="1590"/>
            <w:vAlign w:val="center"/>
            <w:tcMar>
              <w:top w:w="80" w:type="dxa"/>
              <w:start w:w="120" w:type="dxa"/>
              <w:bottom w:w="80" w:type="dxa"/>
              <w:end w:w="120" w:type="dxa"/>
            </w:tcMar>
          </w:tcPr>
          <w:p>
            <w:pPr>
              <w:spacing w:before="0" w:after="20" w:line="252" w:lineRule="auto"/>
              <w:jc w:val="left"/>
            </w:pPr>
            <w:r>
              <w:rPr>
                <w:color w:val="1D2733"/>
                <w:sz w:val="16"/>
              </w:rPr>
              <w:t>CTO / Service Ops</w:t>
            </w:r>
          </w:p>
        </w:tc>
      </w:tr>
      <w:tr>
        <w:trPr>
          <w:cantSplit/>
        </w:trPr>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6"/>
              </w:rPr>
              <w:t>AI harmful or unauthorised action</w:t>
            </w:r>
          </w:p>
        </w:tc>
        <w:tc>
          <w:tcPr>
            <w:tcW w:type="dxa" w:w="4670"/>
            <w:vAlign w:val="center"/>
            <w:shd w:fill="FAFBFC"/>
            <w:tcMar>
              <w:top w:w="80" w:type="dxa"/>
              <w:start w:w="120" w:type="dxa"/>
              <w:bottom w:w="80" w:type="dxa"/>
              <w:end w:w="120" w:type="dxa"/>
            </w:tcMar>
          </w:tcPr>
          <w:p>
            <w:pPr>
              <w:spacing w:before="0" w:after="20" w:line="252" w:lineRule="auto"/>
              <w:jc w:val="left"/>
            </w:pPr>
            <w:r>
              <w:rPr>
                <w:color w:val="1D2733"/>
                <w:sz w:val="16"/>
              </w:rPr>
              <w:t>RIA, authority levels, approved tools, human approval, evaluation, monitoring and kill switch</w:t>
            </w:r>
          </w:p>
        </w:tc>
        <w:tc>
          <w:tcPr>
            <w:tcW w:type="dxa" w:w="1590"/>
            <w:vAlign w:val="center"/>
            <w:shd w:fill="FAFBFC"/>
            <w:tcMar>
              <w:top w:w="80" w:type="dxa"/>
              <w:start w:w="120" w:type="dxa"/>
              <w:bottom w:w="80" w:type="dxa"/>
              <w:end w:w="120" w:type="dxa"/>
            </w:tcMar>
          </w:tcPr>
          <w:p>
            <w:pPr>
              <w:spacing w:before="0" w:after="20" w:line="252" w:lineRule="auto"/>
              <w:jc w:val="left"/>
            </w:pPr>
            <w:r>
              <w:rPr>
                <w:color w:val="1D2733"/>
                <w:sz w:val="16"/>
              </w:rPr>
              <w:t>AI Council / Product</w:t>
            </w:r>
          </w:p>
        </w:tc>
      </w:tr>
      <w:tr>
        <w:trPr>
          <w:cantSplit/>
        </w:trPr>
        <w:tc>
          <w:tcPr>
            <w:tcW w:type="dxa" w:w="3100"/>
            <w:vAlign w:val="center"/>
            <w:tcMar>
              <w:top w:w="80" w:type="dxa"/>
              <w:start w:w="120" w:type="dxa"/>
              <w:bottom w:w="80" w:type="dxa"/>
              <w:end w:w="120" w:type="dxa"/>
            </w:tcMar>
          </w:tcPr>
          <w:p>
            <w:pPr>
              <w:spacing w:before="0" w:after="20" w:line="252" w:lineRule="auto"/>
              <w:jc w:val="left"/>
            </w:pPr>
            <w:r>
              <w:rPr>
                <w:color w:val="1D2733"/>
                <w:sz w:val="16"/>
              </w:rPr>
              <w:t>Client concentration</w:t>
            </w:r>
          </w:p>
        </w:tc>
        <w:tc>
          <w:tcPr>
            <w:tcW w:type="dxa" w:w="4670"/>
            <w:vAlign w:val="center"/>
            <w:tcMar>
              <w:top w:w="80" w:type="dxa"/>
              <w:start w:w="120" w:type="dxa"/>
              <w:bottom w:w="80" w:type="dxa"/>
              <w:end w:w="120" w:type="dxa"/>
            </w:tcMar>
          </w:tcPr>
          <w:p>
            <w:pPr>
              <w:spacing w:before="0" w:after="20" w:line="252" w:lineRule="auto"/>
              <w:jc w:val="left"/>
            </w:pPr>
            <w:r>
              <w:rPr>
                <w:color w:val="1D2733"/>
                <w:sz w:val="16"/>
              </w:rPr>
              <w:t>Segment/channel diversity, account plans, recurring offers and concentration limits</w:t>
            </w:r>
          </w:p>
        </w:tc>
        <w:tc>
          <w:tcPr>
            <w:tcW w:type="dxa" w:w="1590"/>
            <w:vAlign w:val="center"/>
            <w:tcMar>
              <w:top w:w="80" w:type="dxa"/>
              <w:start w:w="120" w:type="dxa"/>
              <w:bottom w:w="80" w:type="dxa"/>
              <w:end w:w="120" w:type="dxa"/>
            </w:tcMar>
          </w:tcPr>
          <w:p>
            <w:pPr>
              <w:spacing w:before="0" w:after="20" w:line="252" w:lineRule="auto"/>
              <w:jc w:val="left"/>
            </w:pPr>
            <w:r>
              <w:rPr>
                <w:color w:val="1D2733"/>
                <w:sz w:val="16"/>
              </w:rPr>
              <w:t>Commercial / Finance</w:t>
            </w:r>
          </w:p>
        </w:tc>
      </w:tr>
      <w:tr>
        <w:trPr>
          <w:cantSplit/>
        </w:trPr>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6"/>
              </w:rPr>
              <w:t>Key-person dependency</w:t>
            </w:r>
          </w:p>
        </w:tc>
        <w:tc>
          <w:tcPr>
            <w:tcW w:type="dxa" w:w="4670"/>
            <w:vAlign w:val="center"/>
            <w:shd w:fill="FAFBFC"/>
            <w:tcMar>
              <w:top w:w="80" w:type="dxa"/>
              <w:start w:w="120" w:type="dxa"/>
              <w:bottom w:w="80" w:type="dxa"/>
              <w:end w:w="120" w:type="dxa"/>
            </w:tcMar>
          </w:tcPr>
          <w:p>
            <w:pPr>
              <w:spacing w:before="0" w:after="20" w:line="252" w:lineRule="auto"/>
              <w:jc w:val="left"/>
            </w:pPr>
            <w:r>
              <w:rPr>
                <w:color w:val="1D2733"/>
                <w:sz w:val="16"/>
              </w:rPr>
              <w:t>Documentation, deputies, credential custody, succession and cross-training</w:t>
            </w:r>
          </w:p>
        </w:tc>
        <w:tc>
          <w:tcPr>
            <w:tcW w:type="dxa" w:w="1590"/>
            <w:vAlign w:val="center"/>
            <w:shd w:fill="FAFBFC"/>
            <w:tcMar>
              <w:top w:w="80" w:type="dxa"/>
              <w:start w:w="120" w:type="dxa"/>
              <w:bottom w:w="80" w:type="dxa"/>
              <w:end w:w="120" w:type="dxa"/>
            </w:tcMar>
          </w:tcPr>
          <w:p>
            <w:pPr>
              <w:spacing w:before="0" w:after="20" w:line="252" w:lineRule="auto"/>
              <w:jc w:val="center"/>
            </w:pPr>
            <w:r>
              <w:rPr>
                <w:color w:val="1D2733"/>
                <w:sz w:val="16"/>
              </w:rPr>
              <w:t>CEO / People</w:t>
            </w:r>
          </w:p>
        </w:tc>
      </w:tr>
      <w:tr>
        <w:trPr>
          <w:cantSplit/>
        </w:trPr>
        <w:tc>
          <w:tcPr>
            <w:tcW w:type="dxa" w:w="3100"/>
            <w:vAlign w:val="center"/>
            <w:tcMar>
              <w:top w:w="80" w:type="dxa"/>
              <w:start w:w="120" w:type="dxa"/>
              <w:bottom w:w="80" w:type="dxa"/>
              <w:end w:w="120" w:type="dxa"/>
            </w:tcMar>
          </w:tcPr>
          <w:p>
            <w:pPr>
              <w:spacing w:before="0" w:after="20" w:line="252" w:lineRule="auto"/>
              <w:jc w:val="left"/>
            </w:pPr>
            <w:r>
              <w:rPr>
                <w:color w:val="1D2733"/>
                <w:sz w:val="16"/>
              </w:rPr>
              <w:t>Vendor/supply-chain failure</w:t>
            </w:r>
          </w:p>
        </w:tc>
        <w:tc>
          <w:tcPr>
            <w:tcW w:type="dxa" w:w="4670"/>
            <w:vAlign w:val="center"/>
            <w:tcMar>
              <w:top w:w="80" w:type="dxa"/>
              <w:start w:w="120" w:type="dxa"/>
              <w:bottom w:w="80" w:type="dxa"/>
              <w:end w:w="120" w:type="dxa"/>
            </w:tcMar>
          </w:tcPr>
          <w:p>
            <w:pPr>
              <w:spacing w:before="0" w:after="20" w:line="252" w:lineRule="auto"/>
              <w:jc w:val="left"/>
            </w:pPr>
            <w:r>
              <w:rPr>
                <w:color w:val="1D2733"/>
                <w:sz w:val="16"/>
              </w:rPr>
              <w:t>Due diligence, contracts, inventory, alternatives, exit/data export and vendor monitoring</w:t>
            </w:r>
          </w:p>
        </w:tc>
        <w:tc>
          <w:tcPr>
            <w:tcW w:type="dxa" w:w="1590"/>
            <w:vAlign w:val="center"/>
            <w:tcMar>
              <w:top w:w="80" w:type="dxa"/>
              <w:start w:w="120" w:type="dxa"/>
              <w:bottom w:w="80" w:type="dxa"/>
              <w:end w:w="120" w:type="dxa"/>
            </w:tcMar>
          </w:tcPr>
          <w:p>
            <w:pPr>
              <w:spacing w:before="0" w:after="20" w:line="252" w:lineRule="auto"/>
              <w:jc w:val="left"/>
            </w:pPr>
            <w:r>
              <w:rPr>
                <w:color w:val="1D2733"/>
                <w:sz w:val="16"/>
              </w:rPr>
              <w:t>Procurement / CTO</w:t>
            </w:r>
          </w:p>
        </w:tc>
      </w:tr>
      <w:tr>
        <w:trPr>
          <w:cantSplit/>
        </w:trPr>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6"/>
              </w:rPr>
              <w:t>Poor delivery/service quality</w:t>
            </w:r>
          </w:p>
        </w:tc>
        <w:tc>
          <w:tcPr>
            <w:tcW w:type="dxa" w:w="4670"/>
            <w:vAlign w:val="center"/>
            <w:shd w:fill="FAFBFC"/>
            <w:tcMar>
              <w:top w:w="80" w:type="dxa"/>
              <w:start w:w="120" w:type="dxa"/>
              <w:bottom w:w="80" w:type="dxa"/>
              <w:end w:w="120" w:type="dxa"/>
            </w:tcMar>
          </w:tcPr>
          <w:p>
            <w:pPr>
              <w:spacing w:before="0" w:after="20" w:line="252" w:lineRule="auto"/>
              <w:jc w:val="left"/>
            </w:pPr>
            <w:r>
              <w:rPr>
                <w:color w:val="1D2733"/>
                <w:sz w:val="16"/>
              </w:rPr>
              <w:t>Scope control, QA gates, implementation playbook, service metrics and root-cause action</w:t>
            </w:r>
          </w:p>
        </w:tc>
        <w:tc>
          <w:tcPr>
            <w:tcW w:type="dxa" w:w="1590"/>
            <w:vAlign w:val="center"/>
            <w:shd w:fill="FAFBFC"/>
            <w:tcMar>
              <w:top w:w="80" w:type="dxa"/>
              <w:start w:w="120" w:type="dxa"/>
              <w:bottom w:w="80" w:type="dxa"/>
              <w:end w:w="120" w:type="dxa"/>
            </w:tcMar>
          </w:tcPr>
          <w:p>
            <w:pPr>
              <w:spacing w:before="0" w:after="20" w:line="252" w:lineRule="auto"/>
              <w:jc w:val="left"/>
            </w:pPr>
            <w:r>
              <w:rPr>
                <w:color w:val="1D2733"/>
                <w:sz w:val="16"/>
              </w:rPr>
              <w:t>Product / Service Ops</w:t>
            </w:r>
          </w:p>
        </w:tc>
      </w:tr>
      <w:tr>
        <w:trPr>
          <w:cantSplit/>
        </w:trPr>
        <w:tc>
          <w:tcPr>
            <w:tcW w:type="dxa" w:w="3100"/>
            <w:vAlign w:val="center"/>
            <w:tcMar>
              <w:top w:w="80" w:type="dxa"/>
              <w:start w:w="120" w:type="dxa"/>
              <w:bottom w:w="80" w:type="dxa"/>
              <w:end w:w="120" w:type="dxa"/>
            </w:tcMar>
          </w:tcPr>
          <w:p>
            <w:pPr>
              <w:spacing w:before="0" w:after="20" w:line="252" w:lineRule="auto"/>
              <w:jc w:val="left"/>
            </w:pPr>
            <w:r>
              <w:rPr>
                <w:color w:val="1D2733"/>
                <w:sz w:val="16"/>
              </w:rPr>
              <w:t>Hardware safety/warranty</w:t>
            </w:r>
          </w:p>
        </w:tc>
        <w:tc>
          <w:tcPr>
            <w:tcW w:type="dxa" w:w="4670"/>
            <w:vAlign w:val="center"/>
            <w:tcMar>
              <w:top w:w="80" w:type="dxa"/>
              <w:start w:w="120" w:type="dxa"/>
              <w:bottom w:w="80" w:type="dxa"/>
              <w:end w:w="120" w:type="dxa"/>
            </w:tcMar>
          </w:tcPr>
          <w:p>
            <w:pPr>
              <w:spacing w:before="0" w:after="20" w:line="252" w:lineRule="auto"/>
              <w:jc w:val="left"/>
            </w:pPr>
            <w:r>
              <w:rPr>
                <w:color w:val="1D2733"/>
                <w:sz w:val="16"/>
              </w:rPr>
              <w:t>Approved OEMs, site safety, acceptance, spares, warranty and maintenance records</w:t>
            </w:r>
          </w:p>
        </w:tc>
        <w:tc>
          <w:tcPr>
            <w:tcW w:type="dxa" w:w="1590"/>
            <w:vAlign w:val="center"/>
            <w:tcMar>
              <w:top w:w="80" w:type="dxa"/>
              <w:start w:w="120" w:type="dxa"/>
              <w:bottom w:w="80" w:type="dxa"/>
              <w:end w:w="120" w:type="dxa"/>
            </w:tcMar>
          </w:tcPr>
          <w:p>
            <w:pPr>
              <w:spacing w:before="0" w:after="20" w:line="252" w:lineRule="auto"/>
              <w:jc w:val="left"/>
            </w:pPr>
            <w:r>
              <w:rPr>
                <w:color w:val="1D2733"/>
                <w:sz w:val="16"/>
              </w:rPr>
              <w:t>Smart Solutions lead</w:t>
            </w:r>
          </w:p>
        </w:tc>
      </w:tr>
      <w:tr>
        <w:trPr>
          <w:cantSplit/>
        </w:trPr>
        <w:tc>
          <w:tcPr>
            <w:tcW w:type="dxa" w:w="3100"/>
            <w:vAlign w:val="center"/>
            <w:shd w:fill="FAFBFC"/>
            <w:tcMar>
              <w:top w:w="80" w:type="dxa"/>
              <w:start w:w="120" w:type="dxa"/>
              <w:bottom w:w="80" w:type="dxa"/>
              <w:end w:w="120" w:type="dxa"/>
            </w:tcMar>
          </w:tcPr>
          <w:p>
            <w:pPr>
              <w:spacing w:before="0" w:after="20" w:line="252" w:lineRule="auto"/>
              <w:jc w:val="left"/>
            </w:pPr>
            <w:r>
              <w:rPr>
                <w:color w:val="1D2733"/>
                <w:sz w:val="16"/>
              </w:rPr>
              <w:t>Reputation/unsupported claims</w:t>
            </w:r>
          </w:p>
        </w:tc>
        <w:tc>
          <w:tcPr>
            <w:tcW w:type="dxa" w:w="4670"/>
            <w:vAlign w:val="center"/>
            <w:shd w:fill="FAFBFC"/>
            <w:tcMar>
              <w:top w:w="80" w:type="dxa"/>
              <w:start w:w="120" w:type="dxa"/>
              <w:bottom w:w="80" w:type="dxa"/>
              <w:end w:w="120" w:type="dxa"/>
            </w:tcMar>
          </w:tcPr>
          <w:p>
            <w:pPr>
              <w:spacing w:before="0" w:after="20" w:line="252" w:lineRule="auto"/>
              <w:jc w:val="left"/>
            </w:pPr>
            <w:r>
              <w:rPr>
                <w:color w:val="1D2733"/>
                <w:sz w:val="16"/>
              </w:rPr>
              <w:t>Evidence review, approval workflow, correction process and spokesperson protocol</w:t>
            </w:r>
          </w:p>
        </w:tc>
        <w:tc>
          <w:tcPr>
            <w:tcW w:type="dxa" w:w="1590"/>
            <w:vAlign w:val="center"/>
            <w:shd w:fill="FAFBFC"/>
            <w:tcMar>
              <w:top w:w="80" w:type="dxa"/>
              <w:start w:w="120" w:type="dxa"/>
              <w:bottom w:w="80" w:type="dxa"/>
              <w:end w:w="120" w:type="dxa"/>
            </w:tcMar>
          </w:tcPr>
          <w:p>
            <w:pPr>
              <w:spacing w:before="0" w:after="20" w:line="252" w:lineRule="auto"/>
              <w:jc w:val="left"/>
            </w:pPr>
            <w:r>
              <w:rPr>
                <w:color w:val="1D2733"/>
                <w:sz w:val="16"/>
              </w:rPr>
              <w:t>Corporate Communications / Legal</w:t>
            </w:r>
          </w:p>
        </w:tc>
      </w:tr>
    </w:tbl>
    <w:p>
      <w:pPr>
        <w:pStyle w:val="Heading2"/>
      </w:pPr>
      <w:r>
        <w:t>Business continuity</w:t>
      </w:r>
    </w:p>
    <w:p>
      <w:pPr>
        <w:pStyle w:val="ListBullet"/>
        <w:keepLines/>
      </w:pPr>
      <w:r>
        <w:t>Complete a business-impact analysis for customer support, identity, delivery, billing/collections, communications, Academy sessions and field operations.</w:t>
      </w:r>
    </w:p>
    <w:p>
      <w:pPr>
        <w:pStyle w:val="ListBullet"/>
        <w:keepLines/>
      </w:pPr>
      <w:r>
        <w:t>Define minimum people, technology, site, supplier, information and cash requirements for each priority activity.</w:t>
      </w:r>
    </w:p>
    <w:p>
      <w:pPr>
        <w:pStyle w:val="ListBullet"/>
        <w:keepLines/>
      </w:pPr>
      <w:r>
        <w:t>Maintain remote-work and alternate-location capability, contact trees, delegated authority and offline copies of essential runbooks/contacts.</w:t>
      </w:r>
    </w:p>
    <w:p>
      <w:pPr>
        <w:pStyle w:val="ListBullet"/>
        <w:keepLines/>
      </w:pPr>
      <w:r>
        <w:t>Map single points of failure: domain/DNS, hosting, power/connectivity, payment, email, credentials, vendors, instructors and client contacts.</w:t>
      </w:r>
    </w:p>
    <w:p>
      <w:pPr>
        <w:pStyle w:val="ListBullet"/>
        <w:keepLines/>
      </w:pPr>
      <w:r>
        <w:t>Exercise plausible scenarios - ransomware, hosting outage, lost device, key-person unavailability, field safety event, vendor failure and payment disruption - and track actions.</w:t>
      </w:r>
    </w:p>
    <w:p>
      <w:bookmarkStart w:id="31" w:name="sec31"/>
      <w:pPr>
        <w:pStyle w:val="Heading1"/>
        <w:keepNext/>
        <w:pageBreakBefore/>
      </w:pPr>
      <w:r>
        <w:t>SECTION 31 | Legal, Regulatory, and Compliance Requirements</w:t>
      </w:r>
      <w:bookmarkEnd w:id="31"/>
    </w:p>
    <w:p>
      <w:pPr>
        <w:pStyle w:val="LeadCallout"/>
        <w:shd w:fill="F4F6F9"/>
        <w:pBdr>
          <w:left w:val="single" w:sz="18" w:space="8" w:color="C99A2E"/>
        </w:pBdr>
      </w:pPr>
      <w:r>
        <w:rPr>
          <w:b/>
          <w:color w:val="102A43"/>
        </w:rPr>
        <w:t xml:space="preserve">Compliance position: </w:t>
      </w:r>
      <w:r>
        <w:t>Rihuum will maintain one obligations register that maps each entity, product, service, country, client sector, dataset, vendor and contract to a named owner, evidence and review date. This section is a control checklist and must be validated by qualified advisers.</w:t>
      </w:r>
    </w:p>
    <w:p>
      <w:pPr>
        <w:pStyle w:val="Heading2"/>
      </w:pPr>
      <w:r>
        <w:t>Nigeria corporate and general obligations</w:t>
      </w:r>
    </w:p>
    <w:p>
      <w:pPr>
        <w:pStyle w:val="Caption"/>
      </w:pPr>
      <w:r>
        <w:t>Table 45. Core legal and regulatory workstreams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000"/>
        <w:gridCol w:w="7360"/>
      </w:tblGrid>
      <w:tr>
        <w:trPr>
          <w:tblHeader w:val="true"/>
          <w:cantSplit/>
        </w:trPr>
        <w:tc>
          <w:tcPr>
            <w:tcW w:type="dxa" w:w="2000"/>
            <w:vAlign w:val="center"/>
            <w:shd w:fill="F2F4F7"/>
            <w:tcMar>
              <w:top w:w="80" w:type="dxa"/>
              <w:start w:w="120" w:type="dxa"/>
              <w:bottom w:w="80" w:type="dxa"/>
              <w:end w:w="120" w:type="dxa"/>
            </w:tcMar>
          </w:tcPr>
          <w:p>
            <w:pPr>
              <w:spacing w:before="0" w:after="0"/>
              <w:jc w:val="center"/>
            </w:pPr>
            <w:r>
              <w:rPr>
                <w:b/>
                <w:color w:val="102A43"/>
                <w:sz w:val="17"/>
              </w:rPr>
              <w:t>Area</w:t>
            </w:r>
          </w:p>
        </w:tc>
        <w:tc>
          <w:tcPr>
            <w:tcW w:type="dxa" w:w="7360"/>
            <w:vAlign w:val="center"/>
            <w:shd w:fill="F2F4F7"/>
            <w:tcMar>
              <w:top w:w="80" w:type="dxa"/>
              <w:start w:w="120" w:type="dxa"/>
              <w:bottom w:w="80" w:type="dxa"/>
              <w:end w:w="120" w:type="dxa"/>
            </w:tcMar>
          </w:tcPr>
          <w:p>
            <w:pPr>
              <w:spacing w:before="0" w:after="0"/>
              <w:jc w:val="center"/>
            </w:pPr>
            <w:r>
              <w:rPr>
                <w:b/>
                <w:color w:val="102A43"/>
                <w:sz w:val="17"/>
              </w:rPr>
              <w:t>Action required</w:t>
            </w:r>
          </w:p>
        </w:tc>
      </w:tr>
      <w:tr>
        <w:trPr>
          <w:cantSplit/>
        </w:trPr>
        <w:tc>
          <w:tcPr>
            <w:tcW w:type="dxa" w:w="2000"/>
            <w:vAlign w:val="center"/>
            <w:tcMar>
              <w:top w:w="80" w:type="dxa"/>
              <w:start w:w="120" w:type="dxa"/>
              <w:bottom w:w="80" w:type="dxa"/>
              <w:end w:w="120" w:type="dxa"/>
            </w:tcMar>
          </w:tcPr>
          <w:p>
            <w:pPr>
              <w:spacing w:before="0" w:after="20" w:line="252" w:lineRule="auto"/>
              <w:jc w:val="left"/>
            </w:pPr>
            <w:r>
              <w:rPr>
                <w:color w:val="1D2733"/>
                <w:sz w:val="16"/>
              </w:rPr>
              <w:t>Corporate/CAC</w:t>
            </w:r>
          </w:p>
        </w:tc>
        <w:tc>
          <w:tcPr>
            <w:tcW w:type="dxa" w:w="7360"/>
            <w:vAlign w:val="center"/>
            <w:tcMar>
              <w:top w:w="80" w:type="dxa"/>
              <w:start w:w="120" w:type="dxa"/>
              <w:bottom w:w="80" w:type="dxa"/>
              <w:end w:w="120" w:type="dxa"/>
            </w:tcMar>
          </w:tcPr>
          <w:p>
            <w:pPr>
              <w:spacing w:before="0" w:after="20" w:line="252" w:lineRule="auto"/>
              <w:jc w:val="left"/>
            </w:pPr>
            <w:r>
              <w:rPr>
                <w:color w:val="1D2733"/>
                <w:sz w:val="16"/>
              </w:rPr>
              <w:t>Reconcile incorporation documents, beneficial ownership/share records, directors, registered office, annual returns, business names and display of legal name/registration number.</w:t>
            </w:r>
          </w:p>
        </w:tc>
      </w:tr>
      <w:tr>
        <w:trPr>
          <w:cantSplit/>
        </w:trPr>
        <w:tc>
          <w:tcPr>
            <w:tcW w:type="dxa" w:w="2000"/>
            <w:vAlign w:val="center"/>
            <w:shd w:fill="FAFBFC"/>
            <w:tcMar>
              <w:top w:w="80" w:type="dxa"/>
              <w:start w:w="120" w:type="dxa"/>
              <w:bottom w:w="80" w:type="dxa"/>
              <w:end w:w="120" w:type="dxa"/>
            </w:tcMar>
          </w:tcPr>
          <w:p>
            <w:pPr>
              <w:spacing w:before="0" w:after="20" w:line="252" w:lineRule="auto"/>
              <w:jc w:val="left"/>
            </w:pPr>
            <w:r>
              <w:rPr>
                <w:color w:val="1D2733"/>
                <w:sz w:val="16"/>
              </w:rPr>
              <w:t>Tax and finance</w:t>
            </w:r>
          </w:p>
        </w:tc>
        <w:tc>
          <w:tcPr>
            <w:tcW w:type="dxa" w:w="7360"/>
            <w:vAlign w:val="center"/>
            <w:shd w:fill="FAFBFC"/>
            <w:tcMar>
              <w:top w:w="80" w:type="dxa"/>
              <w:start w:w="120" w:type="dxa"/>
              <w:bottom w:w="80" w:type="dxa"/>
              <w:end w:w="120" w:type="dxa"/>
            </w:tcMar>
          </w:tcPr>
          <w:p>
            <w:pPr>
              <w:spacing w:before="0" w:after="20" w:line="252" w:lineRule="auto"/>
              <w:jc w:val="left"/>
            </w:pPr>
            <w:r>
              <w:rPr>
                <w:color w:val="1D2733"/>
                <w:sz w:val="16"/>
              </w:rPr>
              <w:t>Obtain current professional advice on federal/state taxes, VAT, withholding, payroll, transfer pricing where relevant, invoicing, record retention and incentives.</w:t>
            </w:r>
          </w:p>
        </w:tc>
      </w:tr>
      <w:tr>
        <w:trPr>
          <w:cantSplit/>
        </w:trPr>
        <w:tc>
          <w:tcPr>
            <w:tcW w:type="dxa" w:w="2000"/>
            <w:vAlign w:val="center"/>
            <w:tcMar>
              <w:top w:w="80" w:type="dxa"/>
              <w:start w:w="120" w:type="dxa"/>
              <w:bottom w:w="80" w:type="dxa"/>
              <w:end w:w="120" w:type="dxa"/>
            </w:tcMar>
          </w:tcPr>
          <w:p>
            <w:pPr>
              <w:spacing w:before="0" w:after="20" w:line="252" w:lineRule="auto"/>
              <w:jc w:val="left"/>
            </w:pPr>
            <w:r>
              <w:rPr>
                <w:color w:val="1D2733"/>
                <w:sz w:val="16"/>
              </w:rPr>
              <w:t>Data protection</w:t>
            </w:r>
          </w:p>
        </w:tc>
        <w:tc>
          <w:tcPr>
            <w:tcW w:type="dxa" w:w="7360"/>
            <w:vAlign w:val="center"/>
            <w:tcMar>
              <w:top w:w="80" w:type="dxa"/>
              <w:start w:w="120" w:type="dxa"/>
              <w:bottom w:w="80" w:type="dxa"/>
              <w:end w:w="120" w:type="dxa"/>
            </w:tcMar>
          </w:tcPr>
          <w:p>
            <w:pPr>
              <w:spacing w:before="0" w:after="20" w:line="252" w:lineRule="auto"/>
              <w:jc w:val="left"/>
            </w:pPr>
            <w:r>
              <w:rPr>
                <w:color w:val="1D2733"/>
                <w:sz w:val="16"/>
              </w:rPr>
              <w:t>Implement the Nigeria Data Protection Act 2023 and current NDPC guidance: governance, processing records, lawful basis, rights, security, processors, DPIAs, breaches and transfers.</w:t>
            </w:r>
          </w:p>
        </w:tc>
      </w:tr>
      <w:tr>
        <w:trPr>
          <w:cantSplit/>
        </w:trPr>
        <w:tc>
          <w:tcPr>
            <w:tcW w:type="dxa" w:w="2000"/>
            <w:vAlign w:val="center"/>
            <w:shd w:fill="FAFBFC"/>
            <w:tcMar>
              <w:top w:w="80" w:type="dxa"/>
              <w:start w:w="120" w:type="dxa"/>
              <w:bottom w:w="80" w:type="dxa"/>
              <w:end w:w="120" w:type="dxa"/>
            </w:tcMar>
          </w:tcPr>
          <w:p>
            <w:pPr>
              <w:spacing w:before="0" w:after="20" w:line="252" w:lineRule="auto"/>
              <w:jc w:val="left"/>
            </w:pPr>
            <w:r>
              <w:rPr>
                <w:color w:val="1D2733"/>
                <w:sz w:val="16"/>
              </w:rPr>
              <w:t>Consumer/competition</w:t>
            </w:r>
          </w:p>
        </w:tc>
        <w:tc>
          <w:tcPr>
            <w:tcW w:type="dxa" w:w="7360"/>
            <w:vAlign w:val="center"/>
            <w:shd w:fill="FAFBFC"/>
            <w:tcMar>
              <w:top w:w="80" w:type="dxa"/>
              <w:start w:w="120" w:type="dxa"/>
              <w:bottom w:w="80" w:type="dxa"/>
              <w:end w:w="120" w:type="dxa"/>
            </w:tcMar>
          </w:tcPr>
          <w:p>
            <w:pPr>
              <w:spacing w:before="0" w:after="20" w:line="252" w:lineRule="auto"/>
              <w:jc w:val="left"/>
            </w:pPr>
            <w:r>
              <w:rPr>
                <w:color w:val="1D2733"/>
                <w:sz w:val="16"/>
              </w:rPr>
              <w:t>Use fair terms, transparent pricing/renewal, accurate claims, complaint/redress, safe products and fair market conduct under applicable FCCPC requirements.</w:t>
            </w:r>
          </w:p>
        </w:tc>
      </w:tr>
      <w:tr>
        <w:trPr>
          <w:cantSplit/>
        </w:trPr>
        <w:tc>
          <w:tcPr>
            <w:tcW w:type="dxa" w:w="2000"/>
            <w:vAlign w:val="center"/>
            <w:tcMar>
              <w:top w:w="80" w:type="dxa"/>
              <w:start w:w="120" w:type="dxa"/>
              <w:bottom w:w="80" w:type="dxa"/>
              <w:end w:w="120" w:type="dxa"/>
            </w:tcMar>
          </w:tcPr>
          <w:p>
            <w:pPr>
              <w:spacing w:before="0" w:after="20" w:line="252" w:lineRule="auto"/>
              <w:jc w:val="left"/>
            </w:pPr>
            <w:r>
              <w:rPr>
                <w:color w:val="1D2733"/>
                <w:sz w:val="16"/>
              </w:rPr>
              <w:t>Cybercrime/evidence</w:t>
            </w:r>
          </w:p>
        </w:tc>
        <w:tc>
          <w:tcPr>
            <w:tcW w:type="dxa" w:w="7360"/>
            <w:vAlign w:val="center"/>
            <w:tcMar>
              <w:top w:w="80" w:type="dxa"/>
              <w:start w:w="120" w:type="dxa"/>
              <w:bottom w:w="80" w:type="dxa"/>
              <w:end w:w="120" w:type="dxa"/>
            </w:tcMar>
          </w:tcPr>
          <w:p>
            <w:pPr>
              <w:spacing w:before="0" w:after="20" w:line="252" w:lineRule="auto"/>
              <w:jc w:val="left"/>
            </w:pPr>
            <w:r>
              <w:rPr>
                <w:color w:val="1D2733"/>
                <w:sz w:val="16"/>
              </w:rPr>
              <w:t>Maintain lawful access, logging, incident handling, evidence preservation and cooperation processes; prohibit unauthorised access/testing.</w:t>
            </w:r>
          </w:p>
        </w:tc>
      </w:tr>
      <w:tr>
        <w:trPr>
          <w:cantSplit/>
        </w:trPr>
        <w:tc>
          <w:tcPr>
            <w:tcW w:type="dxa" w:w="2000"/>
            <w:vAlign w:val="center"/>
            <w:shd w:fill="FAFBFC"/>
            <w:tcMar>
              <w:top w:w="80" w:type="dxa"/>
              <w:start w:w="120" w:type="dxa"/>
              <w:bottom w:w="80" w:type="dxa"/>
              <w:end w:w="120" w:type="dxa"/>
            </w:tcMar>
          </w:tcPr>
          <w:p>
            <w:pPr>
              <w:spacing w:before="0" w:after="20" w:line="252" w:lineRule="auto"/>
              <w:jc w:val="left"/>
            </w:pPr>
            <w:r>
              <w:rPr>
                <w:color w:val="1D2733"/>
                <w:sz w:val="16"/>
              </w:rPr>
              <w:t>Employment</w:t>
            </w:r>
          </w:p>
        </w:tc>
        <w:tc>
          <w:tcPr>
            <w:tcW w:type="dxa" w:w="7360"/>
            <w:vAlign w:val="center"/>
            <w:shd w:fill="FAFBFC"/>
            <w:tcMar>
              <w:top w:w="80" w:type="dxa"/>
              <w:start w:w="120" w:type="dxa"/>
              <w:bottom w:w="80" w:type="dxa"/>
              <w:end w:w="120" w:type="dxa"/>
            </w:tcMar>
          </w:tcPr>
          <w:p>
            <w:pPr>
              <w:spacing w:before="0" w:after="20" w:line="252" w:lineRule="auto"/>
              <w:jc w:val="left"/>
            </w:pPr>
            <w:r>
              <w:rPr>
                <w:color w:val="1D2733"/>
                <w:sz w:val="16"/>
              </w:rPr>
              <w:t>Comply with contracts, payroll/statutory duties, workplace policies, equality/fairness, health/safety and worker data protection.</w:t>
            </w:r>
          </w:p>
        </w:tc>
      </w:tr>
      <w:tr>
        <w:trPr>
          <w:cantSplit/>
        </w:trPr>
        <w:tc>
          <w:tcPr>
            <w:tcW w:type="dxa" w:w="2000"/>
            <w:vAlign w:val="center"/>
            <w:tcMar>
              <w:top w:w="80" w:type="dxa"/>
              <w:start w:w="120" w:type="dxa"/>
              <w:bottom w:w="80" w:type="dxa"/>
              <w:end w:w="120" w:type="dxa"/>
            </w:tcMar>
          </w:tcPr>
          <w:p>
            <w:pPr>
              <w:spacing w:before="0" w:after="20" w:line="252" w:lineRule="auto"/>
              <w:jc w:val="left"/>
            </w:pPr>
            <w:r>
              <w:rPr>
                <w:color w:val="1D2733"/>
                <w:sz w:val="16"/>
              </w:rPr>
              <w:t>IP</w:t>
            </w:r>
          </w:p>
        </w:tc>
        <w:tc>
          <w:tcPr>
            <w:tcW w:type="dxa" w:w="7360"/>
            <w:vAlign w:val="center"/>
            <w:tcMar>
              <w:top w:w="80" w:type="dxa"/>
              <w:start w:w="120" w:type="dxa"/>
              <w:bottom w:w="80" w:type="dxa"/>
              <w:end w:w="120" w:type="dxa"/>
            </w:tcMar>
          </w:tcPr>
          <w:p>
            <w:pPr>
              <w:spacing w:before="0" w:after="20" w:line="252" w:lineRule="auto"/>
              <w:jc w:val="left"/>
            </w:pPr>
            <w:r>
              <w:rPr>
                <w:color w:val="1D2733"/>
                <w:sz w:val="16"/>
              </w:rPr>
              <w:t>Register/maintain trademarks and domains; execute employee/contractor IP assignments; manage copyright, patents where suitable, trade secrets and open-source licences.</w:t>
            </w:r>
          </w:p>
        </w:tc>
      </w:tr>
      <w:tr>
        <w:trPr>
          <w:cantSplit/>
        </w:trPr>
        <w:tc>
          <w:tcPr>
            <w:tcW w:type="dxa" w:w="2000"/>
            <w:vAlign w:val="center"/>
            <w:shd w:fill="FAFBFC"/>
            <w:tcMar>
              <w:top w:w="80" w:type="dxa"/>
              <w:start w:w="120" w:type="dxa"/>
              <w:bottom w:w="80" w:type="dxa"/>
              <w:end w:w="120" w:type="dxa"/>
            </w:tcMar>
          </w:tcPr>
          <w:p>
            <w:pPr>
              <w:spacing w:before="0" w:after="20" w:line="252" w:lineRule="auto"/>
              <w:jc w:val="left"/>
            </w:pPr>
            <w:r>
              <w:rPr>
                <w:color w:val="1D2733"/>
                <w:sz w:val="16"/>
              </w:rPr>
              <w:t>Contracts</w:t>
            </w:r>
          </w:p>
        </w:tc>
        <w:tc>
          <w:tcPr>
            <w:tcW w:type="dxa" w:w="7360"/>
            <w:vAlign w:val="center"/>
            <w:shd w:fill="FAFBFC"/>
            <w:tcMar>
              <w:top w:w="80" w:type="dxa"/>
              <w:start w:w="120" w:type="dxa"/>
              <w:bottom w:w="80" w:type="dxa"/>
              <w:end w:w="120" w:type="dxa"/>
            </w:tcMar>
          </w:tcPr>
          <w:p>
            <w:pPr>
              <w:spacing w:before="0" w:after="20" w:line="252" w:lineRule="auto"/>
              <w:jc w:val="left"/>
            </w:pPr>
            <w:r>
              <w:rPr>
                <w:color w:val="1D2733"/>
                <w:sz w:val="16"/>
              </w:rPr>
              <w:t>Standard MSA/SOW, licence/SaaS, SLA, DPA, support, reseller/vendor, Academy, hardware/warranty and acceptable-use terms with controlled deviations.</w:t>
            </w:r>
          </w:p>
        </w:tc>
      </w:tr>
    </w:tbl>
    <w:p>
      <w:pPr>
        <w:pStyle w:val="Heading2"/>
      </w:pPr>
      <w:r>
        <w:t>Licensing and sector trigger matrix</w:t>
      </w:r>
    </w:p>
    <w:p>
      <w:pPr>
        <w:pStyle w:val="Caption"/>
      </w:pPr>
      <w:r>
        <w:t>Table 46. Pre-launch regulatory triggers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300"/>
        <w:gridCol w:w="7060"/>
      </w:tblGrid>
      <w:tr>
        <w:trPr>
          <w:tblHeader w:val="true"/>
          <w:cantSplit/>
        </w:trPr>
        <w:tc>
          <w:tcPr>
            <w:tcW w:type="dxa" w:w="2300"/>
            <w:vAlign w:val="center"/>
            <w:shd w:fill="F2F4F7"/>
            <w:tcMar>
              <w:top w:w="80" w:type="dxa"/>
              <w:start w:w="120" w:type="dxa"/>
              <w:bottom w:w="80" w:type="dxa"/>
              <w:end w:w="120" w:type="dxa"/>
            </w:tcMar>
          </w:tcPr>
          <w:p>
            <w:pPr>
              <w:spacing w:before="0" w:after="0"/>
              <w:jc w:val="center"/>
            </w:pPr>
            <w:r>
              <w:rPr>
                <w:b/>
                <w:color w:val="102A43"/>
                <w:sz w:val="17"/>
              </w:rPr>
              <w:t>Offering</w:t>
            </w:r>
          </w:p>
        </w:tc>
        <w:tc>
          <w:tcPr>
            <w:tcW w:type="dxa" w:w="7060"/>
            <w:vAlign w:val="center"/>
            <w:shd w:fill="F2F4F7"/>
            <w:tcMar>
              <w:top w:w="80" w:type="dxa"/>
              <w:start w:w="120" w:type="dxa"/>
              <w:bottom w:w="80" w:type="dxa"/>
              <w:end w:w="120" w:type="dxa"/>
            </w:tcMar>
          </w:tcPr>
          <w:p>
            <w:pPr>
              <w:spacing w:before="0" w:after="0"/>
              <w:jc w:val="left"/>
            </w:pPr>
            <w:r>
              <w:rPr>
                <w:b/>
                <w:color w:val="102A43"/>
                <w:sz w:val="17"/>
              </w:rPr>
              <w:t>Questions before sale or deployment</w:t>
            </w:r>
          </w:p>
        </w:tc>
      </w:tr>
      <w:tr>
        <w:trPr>
          <w:cantSplit/>
        </w:trPr>
        <w:tc>
          <w:tcPr>
            <w:tcW w:type="dxa" w:w="2300"/>
            <w:vAlign w:val="center"/>
            <w:tcMar>
              <w:top w:w="80" w:type="dxa"/>
              <w:start w:w="120" w:type="dxa"/>
              <w:bottom w:w="80" w:type="dxa"/>
              <w:end w:w="120" w:type="dxa"/>
            </w:tcMar>
          </w:tcPr>
          <w:p>
            <w:pPr>
              <w:spacing w:before="0" w:after="20" w:line="252" w:lineRule="auto"/>
              <w:jc w:val="left"/>
            </w:pPr>
            <w:r>
              <w:rPr>
                <w:color w:val="1D2733"/>
                <w:sz w:val="16"/>
              </w:rPr>
              <w:t>Telecom/network services</w:t>
            </w:r>
          </w:p>
        </w:tc>
        <w:tc>
          <w:tcPr>
            <w:tcW w:type="dxa" w:w="7060"/>
            <w:vAlign w:val="center"/>
            <w:tcMar>
              <w:top w:w="80" w:type="dxa"/>
              <w:start w:w="120" w:type="dxa"/>
              <w:bottom w:w="80" w:type="dxa"/>
              <w:end w:w="120" w:type="dxa"/>
            </w:tcMar>
          </w:tcPr>
          <w:p>
            <w:pPr>
              <w:spacing w:before="0" w:after="20" w:line="252" w:lineRule="auto"/>
              <w:jc w:val="left"/>
            </w:pPr>
            <w:r>
              <w:rPr>
                <w:color w:val="1D2733"/>
                <w:sz w:val="16"/>
              </w:rPr>
              <w:t>Is Rihuum merely installing/maintaining client networks or providing a regulated communications/value-added service requiring NCC analysis/licence?</w:t>
            </w:r>
          </w:p>
        </w:tc>
      </w:tr>
      <w:tr>
        <w:trPr>
          <w:cantSplit/>
        </w:trPr>
        <w:tc>
          <w:tcPr>
            <w:tcW w:type="dxa" w:w="2300"/>
            <w:vAlign w:val="center"/>
            <w:shd w:fill="FAFBFC"/>
            <w:tcMar>
              <w:top w:w="80" w:type="dxa"/>
              <w:start w:w="120" w:type="dxa"/>
              <w:bottom w:w="80" w:type="dxa"/>
              <w:end w:w="120" w:type="dxa"/>
            </w:tcMar>
          </w:tcPr>
          <w:p>
            <w:pPr>
              <w:spacing w:before="0" w:after="20" w:line="252" w:lineRule="auto"/>
              <w:jc w:val="left"/>
            </w:pPr>
            <w:r>
              <w:rPr>
                <w:color w:val="1D2733"/>
                <w:sz w:val="16"/>
              </w:rPr>
              <w:t>Payments/financial services</w:t>
            </w:r>
          </w:p>
        </w:tc>
        <w:tc>
          <w:tcPr>
            <w:tcW w:type="dxa" w:w="7060"/>
            <w:vAlign w:val="center"/>
            <w:shd w:fill="FAFBFC"/>
            <w:tcMar>
              <w:top w:w="80" w:type="dxa"/>
              <w:start w:w="120" w:type="dxa"/>
              <w:bottom w:w="80" w:type="dxa"/>
              <w:end w:w="120" w:type="dxa"/>
            </w:tcMar>
          </w:tcPr>
          <w:p>
            <w:pPr>
              <w:spacing w:before="0" w:after="20" w:line="252" w:lineRule="auto"/>
              <w:jc w:val="left"/>
            </w:pPr>
            <w:r>
              <w:rPr>
                <w:color w:val="1D2733"/>
                <w:sz w:val="16"/>
              </w:rPr>
              <w:t>Is Rihuum integrating a licensed PSP or performing regulated payment, credit, wallet, switching, remittance or financial-advice activity requiring CBN/other approval?</w:t>
            </w:r>
          </w:p>
        </w:tc>
      </w:tr>
      <w:tr>
        <w:trPr>
          <w:cantSplit/>
        </w:trPr>
        <w:tc>
          <w:tcPr>
            <w:tcW w:type="dxa" w:w="2300"/>
            <w:vAlign w:val="center"/>
            <w:tcMar>
              <w:top w:w="80" w:type="dxa"/>
              <w:start w:w="120" w:type="dxa"/>
              <w:bottom w:w="80" w:type="dxa"/>
              <w:end w:w="120" w:type="dxa"/>
            </w:tcMar>
          </w:tcPr>
          <w:p>
            <w:pPr>
              <w:spacing w:before="0" w:after="20" w:line="252" w:lineRule="auto"/>
              <w:jc w:val="left"/>
            </w:pPr>
            <w:r>
              <w:rPr>
                <w:color w:val="1D2733"/>
                <w:sz w:val="16"/>
              </w:rPr>
              <w:t>CCTV/biometrics/access</w:t>
            </w:r>
          </w:p>
        </w:tc>
        <w:tc>
          <w:tcPr>
            <w:tcW w:type="dxa" w:w="7060"/>
            <w:vAlign w:val="center"/>
            <w:tcMar>
              <w:top w:w="80" w:type="dxa"/>
              <w:start w:w="120" w:type="dxa"/>
              <w:bottom w:w="80" w:type="dxa"/>
              <w:end w:w="120" w:type="dxa"/>
            </w:tcMar>
          </w:tcPr>
          <w:p>
            <w:pPr>
              <w:spacing w:before="0" w:after="20" w:line="252" w:lineRule="auto"/>
              <w:jc w:val="left"/>
            </w:pPr>
            <w:r>
              <w:rPr>
                <w:color w:val="1D2733"/>
                <w:sz w:val="16"/>
              </w:rPr>
              <w:t>What lawful purpose, notice, DPIA, retention, access/evidence, accuracy, worker/public monitoring and security obligations apply?</w:t>
            </w:r>
          </w:p>
        </w:tc>
      </w:tr>
      <w:tr>
        <w:trPr>
          <w:cantSplit/>
        </w:trPr>
        <w:tc>
          <w:tcPr>
            <w:tcW w:type="dxa" w:w="2300"/>
            <w:vAlign w:val="center"/>
            <w:shd w:fill="FAFBFC"/>
            <w:tcMar>
              <w:top w:w="80" w:type="dxa"/>
              <w:start w:w="120" w:type="dxa"/>
              <w:bottom w:w="80" w:type="dxa"/>
              <w:end w:w="120" w:type="dxa"/>
            </w:tcMar>
          </w:tcPr>
          <w:p>
            <w:pPr>
              <w:spacing w:before="0" w:after="20" w:line="252" w:lineRule="auto"/>
              <w:jc w:val="left"/>
            </w:pPr>
            <w:r>
              <w:rPr>
                <w:color w:val="1D2733"/>
                <w:sz w:val="16"/>
              </w:rPr>
              <w:t>Telematics/IoT/radio</w:t>
            </w:r>
          </w:p>
        </w:tc>
        <w:tc>
          <w:tcPr>
            <w:tcW w:type="dxa" w:w="7060"/>
            <w:vAlign w:val="center"/>
            <w:shd w:fill="FAFBFC"/>
            <w:tcMar>
              <w:top w:w="80" w:type="dxa"/>
              <w:start w:w="120" w:type="dxa"/>
              <w:bottom w:w="80" w:type="dxa"/>
              <w:end w:w="120" w:type="dxa"/>
            </w:tcMar>
          </w:tcPr>
          <w:p>
            <w:pPr>
              <w:spacing w:before="0" w:after="20" w:line="252" w:lineRule="auto"/>
              <w:jc w:val="left"/>
            </w:pPr>
            <w:r>
              <w:rPr>
                <w:color w:val="1D2733"/>
                <w:sz w:val="16"/>
              </w:rPr>
              <w:t>Do equipment approval, spectrum/SIM/communications, import, location tracking, safety or sector rules apply?</w:t>
            </w:r>
          </w:p>
        </w:tc>
      </w:tr>
      <w:tr>
        <w:trPr>
          <w:cantSplit/>
        </w:trPr>
        <w:tc>
          <w:tcPr>
            <w:tcW w:type="dxa" w:w="2300"/>
            <w:vAlign w:val="center"/>
            <w:tcMar>
              <w:top w:w="80" w:type="dxa"/>
              <w:start w:w="120" w:type="dxa"/>
              <w:bottom w:w="80" w:type="dxa"/>
              <w:end w:w="120" w:type="dxa"/>
            </w:tcMar>
          </w:tcPr>
          <w:p>
            <w:pPr>
              <w:spacing w:before="0" w:after="20" w:line="252" w:lineRule="auto"/>
              <w:jc w:val="left"/>
            </w:pPr>
            <w:r>
              <w:rPr>
                <w:color w:val="1D2733"/>
                <w:sz w:val="16"/>
              </w:rPr>
              <w:t>Training/credentials</w:t>
            </w:r>
          </w:p>
        </w:tc>
        <w:tc>
          <w:tcPr>
            <w:tcW w:type="dxa" w:w="7060"/>
            <w:vAlign w:val="center"/>
            <w:tcMar>
              <w:top w:w="80" w:type="dxa"/>
              <w:start w:w="120" w:type="dxa"/>
              <w:bottom w:w="80" w:type="dxa"/>
              <w:end w:w="120" w:type="dxa"/>
            </w:tcMar>
          </w:tcPr>
          <w:p>
            <w:pPr>
              <w:spacing w:before="0" w:after="20" w:line="252" w:lineRule="auto"/>
              <w:jc w:val="left"/>
            </w:pPr>
            <w:r>
              <w:rPr>
                <w:color w:val="1D2733"/>
                <w:sz w:val="16"/>
              </w:rPr>
              <w:t>Is a course a Rihuum certificate of completion or represented as an accredited qualification requiring a regulator/awarding-body partnership?</w:t>
            </w:r>
          </w:p>
        </w:tc>
      </w:tr>
      <w:tr>
        <w:trPr>
          <w:cantSplit/>
        </w:trPr>
        <w:tc>
          <w:tcPr>
            <w:tcW w:type="dxa" w:w="2300"/>
            <w:vAlign w:val="center"/>
            <w:shd w:fill="FAFBFC"/>
            <w:tcMar>
              <w:top w:w="80" w:type="dxa"/>
              <w:start w:w="120" w:type="dxa"/>
              <w:bottom w:w="80" w:type="dxa"/>
              <w:end w:w="120" w:type="dxa"/>
            </w:tcMar>
          </w:tcPr>
          <w:p>
            <w:pPr>
              <w:spacing w:before="0" w:after="20" w:line="252" w:lineRule="auto"/>
              <w:jc w:val="left"/>
            </w:pPr>
            <w:r>
              <w:rPr>
                <w:color w:val="1D2733"/>
                <w:sz w:val="16"/>
              </w:rPr>
              <w:t>Hospitality/events</w:t>
            </w:r>
          </w:p>
        </w:tc>
        <w:tc>
          <w:tcPr>
            <w:tcW w:type="dxa" w:w="7060"/>
            <w:vAlign w:val="center"/>
            <w:shd w:fill="FAFBFC"/>
            <w:tcMar>
              <w:top w:w="80" w:type="dxa"/>
              <w:start w:w="120" w:type="dxa"/>
              <w:bottom w:w="80" w:type="dxa"/>
              <w:end w:w="120" w:type="dxa"/>
            </w:tcMar>
          </w:tcPr>
          <w:p>
            <w:pPr>
              <w:spacing w:before="0" w:after="20" w:line="252" w:lineRule="auto"/>
              <w:jc w:val="left"/>
            </w:pPr>
            <w:r>
              <w:rPr>
                <w:color w:val="1D2733"/>
                <w:sz w:val="16"/>
              </w:rPr>
              <w:t>What local premises, tourism, fire/safety, food, alcohol, music, event, tax and employment permits apply to the actual service?</w:t>
            </w:r>
          </w:p>
        </w:tc>
      </w:tr>
      <w:tr>
        <w:trPr>
          <w:cantSplit/>
        </w:trPr>
        <w:tc>
          <w:tcPr>
            <w:tcW w:type="dxa" w:w="2300"/>
            <w:vAlign w:val="center"/>
            <w:tcMar>
              <w:top w:w="80" w:type="dxa"/>
              <w:start w:w="120" w:type="dxa"/>
              <w:bottom w:w="80" w:type="dxa"/>
              <w:end w:w="120" w:type="dxa"/>
            </w:tcMar>
          </w:tcPr>
          <w:p>
            <w:pPr>
              <w:spacing w:before="0" w:after="20" w:line="252" w:lineRule="auto"/>
              <w:jc w:val="left"/>
            </w:pPr>
            <w:r>
              <w:rPr>
                <w:color w:val="1D2733"/>
                <w:sz w:val="16"/>
              </w:rPr>
              <w:t>Health/education/children</w:t>
            </w:r>
          </w:p>
        </w:tc>
        <w:tc>
          <w:tcPr>
            <w:tcW w:type="dxa" w:w="7060"/>
            <w:vAlign w:val="center"/>
            <w:tcMar>
              <w:top w:w="80" w:type="dxa"/>
              <w:start w:w="120" w:type="dxa"/>
              <w:bottom w:w="80" w:type="dxa"/>
              <w:end w:w="120" w:type="dxa"/>
            </w:tcMar>
          </w:tcPr>
          <w:p>
            <w:pPr>
              <w:spacing w:before="0" w:after="20" w:line="252" w:lineRule="auto"/>
              <w:jc w:val="left"/>
            </w:pPr>
            <w:r>
              <w:rPr>
                <w:color w:val="1D2733"/>
                <w:sz w:val="16"/>
              </w:rPr>
              <w:t>Are sector approvals, safeguarding, special-category data, parental/guardian controls or professional restrictions triggered?</w:t>
            </w:r>
          </w:p>
        </w:tc>
      </w:tr>
      <w:tr>
        <w:trPr>
          <w:cantSplit/>
        </w:trPr>
        <w:tc>
          <w:tcPr>
            <w:tcW w:type="dxa" w:w="2300"/>
            <w:vAlign w:val="center"/>
            <w:shd w:fill="FAFBFC"/>
            <w:tcMar>
              <w:top w:w="80" w:type="dxa"/>
              <w:start w:w="120" w:type="dxa"/>
              <w:bottom w:w="80" w:type="dxa"/>
              <w:end w:w="120" w:type="dxa"/>
            </w:tcMar>
          </w:tcPr>
          <w:p>
            <w:pPr>
              <w:spacing w:before="0" w:after="20" w:line="252" w:lineRule="auto"/>
              <w:jc w:val="left"/>
            </w:pPr>
            <w:r>
              <w:rPr>
                <w:color w:val="1D2733"/>
                <w:sz w:val="16"/>
              </w:rPr>
              <w:t>Government/critical infrastructure</w:t>
            </w:r>
          </w:p>
        </w:tc>
        <w:tc>
          <w:tcPr>
            <w:tcW w:type="dxa" w:w="7060"/>
            <w:vAlign w:val="center"/>
            <w:shd w:fill="FAFBFC"/>
            <w:tcMar>
              <w:top w:w="80" w:type="dxa"/>
              <w:start w:w="120" w:type="dxa"/>
              <w:bottom w:w="80" w:type="dxa"/>
              <w:end w:w="120" w:type="dxa"/>
            </w:tcMar>
          </w:tcPr>
          <w:p>
            <w:pPr>
              <w:spacing w:before="0" w:after="20" w:line="252" w:lineRule="auto"/>
              <w:jc w:val="left"/>
            </w:pPr>
            <w:r>
              <w:rPr>
                <w:color w:val="1D2733"/>
                <w:sz w:val="16"/>
              </w:rPr>
              <w:t>What procurement, local-content, hosting/data, security clearance, records, audit and sovereign/critical-system requirements apply?</w:t>
            </w:r>
          </w:p>
        </w:tc>
      </w:tr>
    </w:tbl>
    <w:p>
      <w:pPr>
        <w:pStyle w:val="Heading2"/>
      </w:pPr>
      <w:r>
        <w:t>Startup and innovation status</w:t>
      </w:r>
    </w:p>
    <w:p>
      <w:r>
        <w:t>Rihuum should assess eligibility and commercial value under the Nigeria Startup Act 2022 through the official Startup Support and Engagement Portal. Eligibility, labelling and incentives must be confirmed by the responsible authorities and professional advisers; the company must not advertise itself as a labelled startup unless the label has actually been issued and remains valid.</w:t>
      </w:r>
    </w:p>
    <w:p>
      <w:pPr>
        <w:pStyle w:val="Heading2"/>
      </w:pPr>
      <w:r>
        <w:t>International readiness</w:t>
      </w:r>
    </w:p>
    <w:p>
      <w:pPr>
        <w:pStyle w:val="ListBullet"/>
        <w:keepLines/>
      </w:pPr>
      <w:r>
        <w:t>Perform country-specific entity, tax, employment, consumer, product, cybersecurity, data-transfer and sector analysis before entry.</w:t>
      </w:r>
    </w:p>
    <w:p>
      <w:pPr>
        <w:pStyle w:val="ListBullet"/>
        <w:keepLines/>
      </w:pPr>
      <w:r>
        <w:t>Use international data-processing and transfer terms appropriate to each jurisdiction and client role.</w:t>
      </w:r>
    </w:p>
    <w:p>
      <w:pPr>
        <w:pStyle w:val="ListBullet"/>
        <w:keepLines/>
      </w:pPr>
      <w:r>
        <w:t>Screen partners and transactions for sanctions, export controls, anti-bribery, beneficial ownership and conflicts as applicable.</w:t>
      </w:r>
    </w:p>
    <w:p>
      <w:pPr>
        <w:pStyle w:val="ListBullet"/>
        <w:keepLines/>
      </w:pPr>
      <w:r>
        <w:t>Protect trademarks, domains, software, data rights and confidential know-how in target markets before major promotion or licensing.</w:t>
      </w:r>
    </w:p>
    <w:p>
      <w:pPr>
        <w:pStyle w:val="ListBullet"/>
        <w:keepLines/>
      </w:pPr>
      <w:r>
        <w:t>Do not assume Nigerian contracts, licences, privacy notices or professional credentials automatically work abroad.</w:t>
      </w:r>
    </w:p>
    <w:p>
      <w:bookmarkStart w:id="32" w:name="sec32"/>
      <w:pPr>
        <w:pStyle w:val="Heading1"/>
        <w:keepNext/>
        <w:pageBreakBefore/>
      </w:pPr>
      <w:r>
        <w:t>SECTION 32 | Financial and Investment Planning</w:t>
      </w:r>
      <w:bookmarkEnd w:id="32"/>
    </w:p>
    <w:p>
      <w:pPr>
        <w:pStyle w:val="LeadCallout"/>
        <w:shd w:fill="F4F6F9"/>
        <w:pBdr>
          <w:left w:val="single" w:sz="18" w:space="8" w:color="C99A2E"/>
        </w:pBdr>
      </w:pPr>
      <w:r>
        <w:rPr>
          <w:b/>
          <w:color w:val="102A43"/>
        </w:rPr>
        <w:t xml:space="preserve">Financial rule: </w:t>
      </w:r>
      <w:r>
        <w:t>The board should fund validated capability and preserve runway. Revenue, bookings and cash are different; profitability, cash collection, renewal obligations and product investment must be reconciled in one management model.</w:t>
      </w:r>
    </w:p>
    <w:p>
      <w:pPr>
        <w:pStyle w:val="Heading2"/>
      </w:pPr>
      <w:r>
        <w:t>Financial operating system</w:t>
      </w:r>
    </w:p>
    <w:p>
      <w:pPr>
        <w:pStyle w:val="ListBullet"/>
        <w:keepLines/>
      </w:pPr>
      <w:r>
        <w:t>Monthly reconciled profit/loss, balance sheet, cash flow, receivables/payables, tax and management commentary.</w:t>
      </w:r>
    </w:p>
    <w:p>
      <w:pPr>
        <w:pStyle w:val="ListBullet"/>
        <w:keepLines/>
      </w:pPr>
      <w:r>
        <w:t>Rolling 13-week cash forecast plus annual budget and multi-year scenario model.</w:t>
      </w:r>
    </w:p>
    <w:p>
      <w:pPr>
        <w:pStyle w:val="ListBullet"/>
        <w:keepLines/>
      </w:pPr>
      <w:r>
        <w:t>Project/product/client cost and margin records, including time, infrastructure, vendor, support, hardware, warranty and channel cost.</w:t>
      </w:r>
    </w:p>
    <w:p>
      <w:pPr>
        <w:pStyle w:val="ListBullet"/>
        <w:keepLines/>
      </w:pPr>
      <w:r>
        <w:t>Delegated spending, procurement and contract authority; finance@rihuum.com issues authorised finance records, payment@rihuum.com records payments and account@rihuum.com performs separate approval. Dual control applies to payments and changes to beneficiary or bank details.</w:t>
      </w:r>
    </w:p>
    <w:p>
      <w:pPr>
        <w:pStyle w:val="ListBullet"/>
        <w:keepLines/>
      </w:pPr>
      <w:r>
        <w:t>Revenue recognition and deferred revenue reviewed by qualified accounting advisers for subscriptions, licences, services, training and hardware bundles.</w:t>
      </w:r>
    </w:p>
    <w:p>
      <w:pPr>
        <w:pStyle w:val="ListBullet"/>
        <w:keepLines/>
      </w:pPr>
      <w:r>
        <w:t>Asset, inventory, licence and vendor commitment registers; no uncontrolled recurring subscriptions.</w:t>
      </w:r>
    </w:p>
    <w:p>
      <w:pPr>
        <w:pStyle w:val="Heading2"/>
      </w:pPr>
      <w:r>
        <w:t>Planning allocation bands</w:t>
      </w:r>
    </w:p>
    <w:p>
      <w:pPr>
        <w:pStyle w:val="Caption"/>
      </w:pPr>
      <w:r>
        <w:t>Table 47. Illustrative operating allocation bands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600"/>
        <w:gridCol w:w="1500"/>
        <w:gridCol w:w="5260"/>
      </w:tblGrid>
      <w:tr>
        <w:trPr>
          <w:tblHeader w:val="true"/>
          <w:cantSplit/>
        </w:trPr>
        <w:tc>
          <w:tcPr>
            <w:tcW w:type="dxa" w:w="2600"/>
            <w:vAlign w:val="center"/>
            <w:shd w:fill="F2F4F7"/>
            <w:tcMar>
              <w:top w:w="80" w:type="dxa"/>
              <w:start w:w="120" w:type="dxa"/>
              <w:bottom w:w="80" w:type="dxa"/>
              <w:end w:w="120" w:type="dxa"/>
            </w:tcMar>
          </w:tcPr>
          <w:p>
            <w:pPr>
              <w:spacing w:before="0" w:after="0"/>
              <w:jc w:val="center"/>
            </w:pPr>
            <w:r>
              <w:rPr>
                <w:b/>
                <w:color w:val="102A43"/>
                <w:sz w:val="17"/>
              </w:rPr>
              <w:t>Investment area</w:t>
            </w:r>
          </w:p>
        </w:tc>
        <w:tc>
          <w:tcPr>
            <w:tcW w:type="dxa" w:w="1500"/>
            <w:vAlign w:val="center"/>
            <w:shd w:fill="F2F4F7"/>
            <w:tcMar>
              <w:top w:w="80" w:type="dxa"/>
              <w:start w:w="120" w:type="dxa"/>
              <w:bottom w:w="80" w:type="dxa"/>
              <w:end w:w="120" w:type="dxa"/>
            </w:tcMar>
          </w:tcPr>
          <w:p>
            <w:pPr>
              <w:spacing w:before="0" w:after="0"/>
              <w:jc w:val="center"/>
            </w:pPr>
            <w:r>
              <w:rPr>
                <w:b/>
                <w:color w:val="102A43"/>
                <w:sz w:val="17"/>
              </w:rPr>
              <w:t>Indicative band</w:t>
            </w:r>
          </w:p>
        </w:tc>
        <w:tc>
          <w:tcPr>
            <w:tcW w:type="dxa" w:w="5260"/>
            <w:vAlign w:val="center"/>
            <w:shd w:fill="F2F4F7"/>
            <w:tcMar>
              <w:top w:w="80" w:type="dxa"/>
              <w:start w:w="120" w:type="dxa"/>
              <w:bottom w:w="80" w:type="dxa"/>
              <w:end w:w="120" w:type="dxa"/>
            </w:tcMar>
          </w:tcPr>
          <w:p>
            <w:pPr>
              <w:spacing w:before="0" w:after="0"/>
              <w:jc w:val="left"/>
            </w:pPr>
            <w:r>
              <w:rPr>
                <w:b/>
                <w:color w:val="102A43"/>
                <w:sz w:val="17"/>
              </w:rPr>
              <w:t>Board decision test</w:t>
            </w:r>
          </w:p>
        </w:tc>
      </w:tr>
      <w:tr>
        <w:trPr>
          <w:cantSplit/>
        </w:trPr>
        <w:tc>
          <w:tcPr>
            <w:tcW w:type="dxa" w:w="2600"/>
            <w:vAlign w:val="center"/>
            <w:tcMar>
              <w:top w:w="80" w:type="dxa"/>
              <w:start w:w="120" w:type="dxa"/>
              <w:bottom w:w="80" w:type="dxa"/>
              <w:end w:w="120" w:type="dxa"/>
            </w:tcMar>
          </w:tcPr>
          <w:p>
            <w:pPr>
              <w:spacing w:before="0" w:after="20" w:line="252" w:lineRule="auto"/>
              <w:jc w:val="left"/>
            </w:pPr>
            <w:r>
              <w:rPr>
                <w:color w:val="1D2733"/>
                <w:sz w:val="16"/>
              </w:rPr>
              <w:t>Product, engineering and QA</w:t>
            </w:r>
          </w:p>
        </w:tc>
        <w:tc>
          <w:tcPr>
            <w:tcW w:type="dxa" w:w="1500"/>
            <w:vAlign w:val="center"/>
            <w:tcMar>
              <w:top w:w="80" w:type="dxa"/>
              <w:start w:w="120" w:type="dxa"/>
              <w:bottom w:w="80" w:type="dxa"/>
              <w:end w:w="120" w:type="dxa"/>
            </w:tcMar>
          </w:tcPr>
          <w:p>
            <w:pPr>
              <w:spacing w:before="0" w:after="20" w:line="252" w:lineRule="auto"/>
              <w:jc w:val="center"/>
            </w:pPr>
            <w:r>
              <w:rPr>
                <w:color w:val="1D2733"/>
                <w:sz w:val="16"/>
              </w:rPr>
              <w:t>25-40%</w:t>
            </w:r>
          </w:p>
        </w:tc>
        <w:tc>
          <w:tcPr>
            <w:tcW w:type="dxa" w:w="5260"/>
            <w:vAlign w:val="center"/>
            <w:tcMar>
              <w:top w:w="80" w:type="dxa"/>
              <w:start w:w="120" w:type="dxa"/>
              <w:bottom w:w="80" w:type="dxa"/>
              <w:end w:w="120" w:type="dxa"/>
            </w:tcMar>
          </w:tcPr>
          <w:p>
            <w:pPr>
              <w:spacing w:before="0" w:after="20" w:line="252" w:lineRule="auto"/>
              <w:jc w:val="left"/>
            </w:pPr>
            <w:r>
              <w:rPr>
                <w:color w:val="1D2733"/>
                <w:sz w:val="16"/>
              </w:rPr>
              <w:t>Does spend create reusable, supportable product and reduce delivery risk?</w:t>
            </w:r>
          </w:p>
        </w:tc>
      </w:tr>
      <w:tr>
        <w:trPr>
          <w:cantSplit/>
        </w:trPr>
        <w:tc>
          <w:tcPr>
            <w:tcW w:type="dxa" w:w="2600"/>
            <w:vAlign w:val="center"/>
            <w:shd w:fill="FAFBFC"/>
            <w:tcMar>
              <w:top w:w="80" w:type="dxa"/>
              <w:start w:w="120" w:type="dxa"/>
              <w:bottom w:w="80" w:type="dxa"/>
              <w:end w:w="120" w:type="dxa"/>
            </w:tcMar>
          </w:tcPr>
          <w:p>
            <w:pPr>
              <w:spacing w:before="0" w:after="20" w:line="252" w:lineRule="auto"/>
              <w:jc w:val="left"/>
            </w:pPr>
            <w:r>
              <w:rPr>
                <w:color w:val="1D2733"/>
                <w:sz w:val="16"/>
              </w:rPr>
              <w:t>Sales, marketing and partnerships</w:t>
            </w:r>
          </w:p>
        </w:tc>
        <w:tc>
          <w:tcPr>
            <w:tcW w:type="dxa" w:w="1500"/>
            <w:vAlign w:val="center"/>
            <w:shd w:fill="FAFBFC"/>
            <w:tcMar>
              <w:top w:w="80" w:type="dxa"/>
              <w:start w:w="120" w:type="dxa"/>
              <w:bottom w:w="80" w:type="dxa"/>
              <w:end w:w="120" w:type="dxa"/>
            </w:tcMar>
          </w:tcPr>
          <w:p>
            <w:pPr>
              <w:spacing w:before="0" w:after="20" w:line="252" w:lineRule="auto"/>
              <w:jc w:val="center"/>
            </w:pPr>
            <w:r>
              <w:rPr>
                <w:color w:val="1D2733"/>
                <w:sz w:val="16"/>
              </w:rPr>
              <w:t>12-22%</w:t>
            </w:r>
          </w:p>
        </w:tc>
        <w:tc>
          <w:tcPr>
            <w:tcW w:type="dxa" w:w="5260"/>
            <w:vAlign w:val="center"/>
            <w:shd w:fill="FAFBFC"/>
            <w:tcMar>
              <w:top w:w="80" w:type="dxa"/>
              <w:start w:w="120" w:type="dxa"/>
              <w:bottom w:w="80" w:type="dxa"/>
              <w:end w:w="120" w:type="dxa"/>
            </w:tcMar>
          </w:tcPr>
          <w:p>
            <w:pPr>
              <w:spacing w:before="0" w:after="20" w:line="252" w:lineRule="auto"/>
              <w:jc w:val="left"/>
            </w:pPr>
            <w:r>
              <w:rPr>
                <w:color w:val="1D2733"/>
                <w:sz w:val="16"/>
              </w:rPr>
              <w:t>Is there a defined segment, conversion path, margin and payback hypothesis?</w:t>
            </w:r>
          </w:p>
        </w:tc>
      </w:tr>
      <w:tr>
        <w:trPr>
          <w:cantSplit/>
        </w:trPr>
        <w:tc>
          <w:tcPr>
            <w:tcW w:type="dxa" w:w="2600"/>
            <w:vAlign w:val="center"/>
            <w:tcMar>
              <w:top w:w="80" w:type="dxa"/>
              <w:start w:w="120" w:type="dxa"/>
              <w:bottom w:w="80" w:type="dxa"/>
              <w:end w:w="120" w:type="dxa"/>
            </w:tcMar>
          </w:tcPr>
          <w:p>
            <w:pPr>
              <w:spacing w:before="0" w:after="20" w:line="252" w:lineRule="auto"/>
              <w:jc w:val="left"/>
            </w:pPr>
            <w:r>
              <w:rPr>
                <w:color w:val="1D2733"/>
                <w:sz w:val="16"/>
              </w:rPr>
              <w:t>Customer success and service</w:t>
            </w:r>
          </w:p>
        </w:tc>
        <w:tc>
          <w:tcPr>
            <w:tcW w:type="dxa" w:w="1500"/>
            <w:vAlign w:val="center"/>
            <w:tcMar>
              <w:top w:w="80" w:type="dxa"/>
              <w:start w:w="120" w:type="dxa"/>
              <w:bottom w:w="80" w:type="dxa"/>
              <w:end w:w="120" w:type="dxa"/>
            </w:tcMar>
          </w:tcPr>
          <w:p>
            <w:pPr>
              <w:spacing w:before="0" w:after="20" w:line="252" w:lineRule="auto"/>
              <w:jc w:val="center"/>
            </w:pPr>
            <w:r>
              <w:rPr>
                <w:color w:val="1D2733"/>
                <w:sz w:val="16"/>
              </w:rPr>
              <w:t>10-18%</w:t>
            </w:r>
          </w:p>
        </w:tc>
        <w:tc>
          <w:tcPr>
            <w:tcW w:type="dxa" w:w="5260"/>
            <w:vAlign w:val="center"/>
            <w:tcMar>
              <w:top w:w="80" w:type="dxa"/>
              <w:start w:w="120" w:type="dxa"/>
              <w:bottom w:w="80" w:type="dxa"/>
              <w:end w:w="120" w:type="dxa"/>
            </w:tcMar>
          </w:tcPr>
          <w:p>
            <w:pPr>
              <w:spacing w:before="0" w:after="20" w:line="252" w:lineRule="auto"/>
              <w:jc w:val="left"/>
            </w:pPr>
            <w:r>
              <w:rPr>
                <w:color w:val="1D2733"/>
                <w:sz w:val="16"/>
              </w:rPr>
              <w:t>Can contracted clients onboard, adopt, renew and receive promised support?</w:t>
            </w:r>
          </w:p>
        </w:tc>
      </w:tr>
      <w:tr>
        <w:trPr>
          <w:cantSplit/>
        </w:trPr>
        <w:tc>
          <w:tcPr>
            <w:tcW w:type="dxa" w:w="2600"/>
            <w:vAlign w:val="center"/>
            <w:shd w:fill="FAFBFC"/>
            <w:tcMar>
              <w:top w:w="80" w:type="dxa"/>
              <w:start w:w="120" w:type="dxa"/>
              <w:bottom w:w="80" w:type="dxa"/>
              <w:end w:w="120" w:type="dxa"/>
            </w:tcMar>
          </w:tcPr>
          <w:p>
            <w:pPr>
              <w:spacing w:before="0" w:after="20" w:line="252" w:lineRule="auto"/>
              <w:jc w:val="left"/>
            </w:pPr>
            <w:r>
              <w:rPr>
                <w:color w:val="1D2733"/>
                <w:sz w:val="16"/>
              </w:rPr>
              <w:t>Infrastructure, security and compliance</w:t>
            </w:r>
          </w:p>
        </w:tc>
        <w:tc>
          <w:tcPr>
            <w:tcW w:type="dxa" w:w="1500"/>
            <w:vAlign w:val="center"/>
            <w:shd w:fill="FAFBFC"/>
            <w:tcMar>
              <w:top w:w="80" w:type="dxa"/>
              <w:start w:w="120" w:type="dxa"/>
              <w:bottom w:w="80" w:type="dxa"/>
              <w:end w:w="120" w:type="dxa"/>
            </w:tcMar>
          </w:tcPr>
          <w:p>
            <w:pPr>
              <w:spacing w:before="0" w:after="20" w:line="252" w:lineRule="auto"/>
              <w:jc w:val="center"/>
            </w:pPr>
            <w:r>
              <w:rPr>
                <w:color w:val="1D2733"/>
                <w:sz w:val="16"/>
              </w:rPr>
              <w:t>8-15%</w:t>
            </w:r>
          </w:p>
        </w:tc>
        <w:tc>
          <w:tcPr>
            <w:tcW w:type="dxa" w:w="5260"/>
            <w:vAlign w:val="center"/>
            <w:shd w:fill="FAFBFC"/>
            <w:tcMar>
              <w:top w:w="80" w:type="dxa"/>
              <w:start w:w="120" w:type="dxa"/>
              <w:bottom w:w="80" w:type="dxa"/>
              <w:end w:w="120" w:type="dxa"/>
            </w:tcMar>
          </w:tcPr>
          <w:p>
            <w:pPr>
              <w:spacing w:before="0" w:after="20" w:line="252" w:lineRule="auto"/>
              <w:jc w:val="left"/>
            </w:pPr>
            <w:r>
              <w:rPr>
                <w:color w:val="1D2733"/>
                <w:sz w:val="16"/>
              </w:rPr>
              <w:t>Does capacity/control match current risk and near-term commitments?</w:t>
            </w:r>
          </w:p>
        </w:tc>
      </w:tr>
      <w:tr>
        <w:trPr>
          <w:cantSplit/>
        </w:trPr>
        <w:tc>
          <w:tcPr>
            <w:tcW w:type="dxa" w:w="2600"/>
            <w:vAlign w:val="center"/>
            <w:tcMar>
              <w:top w:w="80" w:type="dxa"/>
              <w:start w:w="120" w:type="dxa"/>
              <w:bottom w:w="80" w:type="dxa"/>
              <w:end w:w="120" w:type="dxa"/>
            </w:tcMar>
          </w:tcPr>
          <w:p>
            <w:pPr>
              <w:spacing w:before="0" w:after="20" w:line="252" w:lineRule="auto"/>
              <w:jc w:val="left"/>
            </w:pPr>
            <w:r>
              <w:rPr>
                <w:color w:val="1D2733"/>
                <w:sz w:val="16"/>
              </w:rPr>
              <w:t>Academy, people and capability</w:t>
            </w:r>
          </w:p>
        </w:tc>
        <w:tc>
          <w:tcPr>
            <w:tcW w:type="dxa" w:w="1500"/>
            <w:vAlign w:val="center"/>
            <w:tcMar>
              <w:top w:w="80" w:type="dxa"/>
              <w:start w:w="120" w:type="dxa"/>
              <w:bottom w:w="80" w:type="dxa"/>
              <w:end w:w="120" w:type="dxa"/>
            </w:tcMar>
          </w:tcPr>
          <w:p>
            <w:pPr>
              <w:spacing w:before="0" w:after="20" w:line="252" w:lineRule="auto"/>
              <w:jc w:val="center"/>
            </w:pPr>
            <w:r>
              <w:rPr>
                <w:color w:val="1D2733"/>
                <w:sz w:val="16"/>
              </w:rPr>
              <w:t>8-15%</w:t>
            </w:r>
          </w:p>
        </w:tc>
        <w:tc>
          <w:tcPr>
            <w:tcW w:type="dxa" w:w="5260"/>
            <w:vAlign w:val="center"/>
            <w:tcMar>
              <w:top w:w="80" w:type="dxa"/>
              <w:start w:w="120" w:type="dxa"/>
              <w:bottom w:w="80" w:type="dxa"/>
              <w:end w:w="120" w:type="dxa"/>
            </w:tcMar>
          </w:tcPr>
          <w:p>
            <w:pPr>
              <w:spacing w:before="0" w:after="20" w:line="252" w:lineRule="auto"/>
              <w:jc w:val="left"/>
            </w:pPr>
            <w:r>
              <w:rPr>
                <w:color w:val="1D2733"/>
                <w:sz w:val="16"/>
              </w:rPr>
              <w:t>Does training close skill gaps and produce measured workforce/client outcomes?</w:t>
            </w:r>
          </w:p>
        </w:tc>
      </w:tr>
      <w:tr>
        <w:trPr>
          <w:cantSplit/>
        </w:trPr>
        <w:tc>
          <w:tcPr>
            <w:tcW w:type="dxa" w:w="2600"/>
            <w:vAlign w:val="center"/>
            <w:shd w:fill="FAFBFC"/>
            <w:tcMar>
              <w:top w:w="80" w:type="dxa"/>
              <w:start w:w="120" w:type="dxa"/>
              <w:bottom w:w="80" w:type="dxa"/>
              <w:end w:w="120" w:type="dxa"/>
            </w:tcMar>
          </w:tcPr>
          <w:p>
            <w:pPr>
              <w:spacing w:before="0" w:after="20" w:line="252" w:lineRule="auto"/>
              <w:jc w:val="left"/>
            </w:pPr>
            <w:r>
              <w:rPr>
                <w:color w:val="1D2733"/>
                <w:sz w:val="16"/>
              </w:rPr>
              <w:t>Corporate operations/legal/finance</w:t>
            </w:r>
          </w:p>
        </w:tc>
        <w:tc>
          <w:tcPr>
            <w:tcW w:type="dxa" w:w="1500"/>
            <w:vAlign w:val="center"/>
            <w:shd w:fill="FAFBFC"/>
            <w:tcMar>
              <w:top w:w="80" w:type="dxa"/>
              <w:start w:w="120" w:type="dxa"/>
              <w:bottom w:w="80" w:type="dxa"/>
              <w:end w:w="120" w:type="dxa"/>
            </w:tcMar>
          </w:tcPr>
          <w:p>
            <w:pPr>
              <w:spacing w:before="0" w:after="20" w:line="252" w:lineRule="auto"/>
              <w:jc w:val="center"/>
            </w:pPr>
            <w:r>
              <w:rPr>
                <w:color w:val="1D2733"/>
                <w:sz w:val="16"/>
              </w:rPr>
              <w:t>8-15%</w:t>
            </w:r>
          </w:p>
        </w:tc>
        <w:tc>
          <w:tcPr>
            <w:tcW w:type="dxa" w:w="5260"/>
            <w:vAlign w:val="center"/>
            <w:shd w:fill="FAFBFC"/>
            <w:tcMar>
              <w:top w:w="80" w:type="dxa"/>
              <w:start w:w="120" w:type="dxa"/>
              <w:bottom w:w="80" w:type="dxa"/>
              <w:end w:w="120" w:type="dxa"/>
            </w:tcMar>
          </w:tcPr>
          <w:p>
            <w:pPr>
              <w:spacing w:before="0" w:after="20" w:line="252" w:lineRule="auto"/>
              <w:jc w:val="left"/>
            </w:pPr>
            <w:r>
              <w:rPr>
                <w:color w:val="1D2733"/>
                <w:sz w:val="16"/>
              </w:rPr>
              <w:t>Are statutory, cash, governance and contracting controls reliable?</w:t>
            </w:r>
          </w:p>
        </w:tc>
      </w:tr>
      <w:tr>
        <w:trPr>
          <w:cantSplit/>
        </w:trPr>
        <w:tc>
          <w:tcPr>
            <w:tcW w:type="dxa" w:w="2600"/>
            <w:vAlign w:val="center"/>
            <w:tcMar>
              <w:top w:w="80" w:type="dxa"/>
              <w:start w:w="120" w:type="dxa"/>
              <w:bottom w:w="80" w:type="dxa"/>
              <w:end w:w="120" w:type="dxa"/>
            </w:tcMar>
          </w:tcPr>
          <w:p>
            <w:pPr>
              <w:spacing w:before="0" w:after="20" w:line="252" w:lineRule="auto"/>
              <w:jc w:val="left"/>
            </w:pPr>
            <w:r>
              <w:rPr>
                <w:color w:val="1D2733"/>
                <w:sz w:val="16"/>
              </w:rPr>
              <w:t>Research/innovation and contingency</w:t>
            </w:r>
          </w:p>
        </w:tc>
        <w:tc>
          <w:tcPr>
            <w:tcW w:type="dxa" w:w="1500"/>
            <w:vAlign w:val="center"/>
            <w:tcMar>
              <w:top w:w="80" w:type="dxa"/>
              <w:start w:w="120" w:type="dxa"/>
              <w:bottom w:w="80" w:type="dxa"/>
              <w:end w:w="120" w:type="dxa"/>
            </w:tcMar>
          </w:tcPr>
          <w:p>
            <w:pPr>
              <w:spacing w:before="0" w:after="20" w:line="252" w:lineRule="auto"/>
              <w:jc w:val="center"/>
            </w:pPr>
            <w:r>
              <w:rPr>
                <w:color w:val="1D2733"/>
                <w:sz w:val="16"/>
              </w:rPr>
              <w:t>5-12%</w:t>
            </w:r>
          </w:p>
        </w:tc>
        <w:tc>
          <w:tcPr>
            <w:tcW w:type="dxa" w:w="5260"/>
            <w:vAlign w:val="center"/>
            <w:tcMar>
              <w:top w:w="80" w:type="dxa"/>
              <w:start w:w="120" w:type="dxa"/>
              <w:bottom w:w="80" w:type="dxa"/>
              <w:end w:w="120" w:type="dxa"/>
            </w:tcMar>
          </w:tcPr>
          <w:p>
            <w:pPr>
              <w:spacing w:before="0" w:after="20" w:line="252" w:lineRule="auto"/>
              <w:jc w:val="left"/>
            </w:pPr>
            <w:r>
              <w:rPr>
                <w:color w:val="1D2733"/>
                <w:sz w:val="16"/>
              </w:rPr>
              <w:t>Are experiments bounded and is contingency sufficient for plausible shocks?</w:t>
            </w:r>
          </w:p>
        </w:tc>
      </w:tr>
    </w:tbl>
    <w:p>
      <w:pPr>
        <w:pStyle w:val="SmallNote"/>
        <w:spacing w:before="80" w:after="120"/>
      </w:pPr>
      <w:r>
        <w:t>Bands are planning envelopes, not a budget and not intended to sum at their upper limits. The annual plan must select allocations that sum to 100% and reflect actual cash, stage and commitments.</w:t>
      </w:r>
    </w:p>
    <w:p>
      <w:pPr>
        <w:pStyle w:val="Heading2"/>
      </w:pPr>
      <w:r>
        <w:t>Scenario and funding strategy</w:t>
      </w:r>
    </w:p>
    <w:p>
      <w:pPr>
        <w:pStyle w:val="Caption"/>
      </w:pPr>
      <w:r>
        <w:t>Table 48. Funding scenarios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700"/>
        <w:gridCol w:w="4420"/>
        <w:gridCol w:w="3240"/>
      </w:tblGrid>
      <w:tr>
        <w:trPr>
          <w:tblHeader w:val="true"/>
          <w:cantSplit/>
        </w:trPr>
        <w:tc>
          <w:tcPr>
            <w:tcW w:type="dxa" w:w="1700"/>
            <w:vAlign w:val="center"/>
            <w:shd w:fill="F2F4F7"/>
            <w:tcMar>
              <w:top w:w="80" w:type="dxa"/>
              <w:start w:w="120" w:type="dxa"/>
              <w:bottom w:w="80" w:type="dxa"/>
              <w:end w:w="120" w:type="dxa"/>
            </w:tcMar>
          </w:tcPr>
          <w:p>
            <w:pPr>
              <w:spacing w:before="0" w:after="0"/>
              <w:jc w:val="center"/>
            </w:pPr>
            <w:r>
              <w:rPr>
                <w:b/>
                <w:color w:val="102A43"/>
                <w:sz w:val="18"/>
              </w:rPr>
              <w:t>Scenario</w:t>
            </w:r>
          </w:p>
        </w:tc>
        <w:tc>
          <w:tcPr>
            <w:tcW w:type="dxa" w:w="4420"/>
            <w:vAlign w:val="center"/>
            <w:shd w:fill="F2F4F7"/>
            <w:tcMar>
              <w:top w:w="80" w:type="dxa"/>
              <w:start w:w="120" w:type="dxa"/>
              <w:bottom w:w="80" w:type="dxa"/>
              <w:end w:w="120" w:type="dxa"/>
            </w:tcMar>
          </w:tcPr>
          <w:p>
            <w:pPr>
              <w:spacing w:before="0" w:after="0"/>
              <w:jc w:val="center"/>
            </w:pPr>
            <w:r>
              <w:rPr>
                <w:b/>
                <w:color w:val="102A43"/>
                <w:sz w:val="18"/>
              </w:rPr>
              <w:t>Priority</w:t>
            </w:r>
          </w:p>
        </w:tc>
        <w:tc>
          <w:tcPr>
            <w:tcW w:type="dxa" w:w="3240"/>
            <w:vAlign w:val="center"/>
            <w:shd w:fill="F2F4F7"/>
            <w:tcMar>
              <w:top w:w="80" w:type="dxa"/>
              <w:start w:w="120" w:type="dxa"/>
              <w:bottom w:w="80" w:type="dxa"/>
              <w:end w:w="120" w:type="dxa"/>
            </w:tcMar>
          </w:tcPr>
          <w:p>
            <w:pPr>
              <w:spacing w:before="0" w:after="0"/>
              <w:jc w:val="left"/>
            </w:pPr>
            <w:r>
              <w:rPr>
                <w:b/>
                <w:color w:val="102A43"/>
                <w:sz w:val="18"/>
              </w:rPr>
              <w:t>Capital approach</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7"/>
              </w:rPr>
              <w:t>Bootstrap/control</w:t>
            </w:r>
          </w:p>
        </w:tc>
        <w:tc>
          <w:tcPr>
            <w:tcW w:type="dxa" w:w="4420"/>
            <w:vAlign w:val="center"/>
            <w:tcMar>
              <w:top w:w="80" w:type="dxa"/>
              <w:start w:w="120" w:type="dxa"/>
              <w:bottom w:w="80" w:type="dxa"/>
              <w:end w:w="120" w:type="dxa"/>
            </w:tcMar>
          </w:tcPr>
          <w:p>
            <w:pPr>
              <w:spacing w:before="0" w:after="20" w:line="252" w:lineRule="auto"/>
              <w:jc w:val="left"/>
            </w:pPr>
            <w:r>
              <w:rPr>
                <w:color w:val="1D2733"/>
                <w:sz w:val="17"/>
              </w:rPr>
              <w:t>Corporate compliance, domains, core team, paid services, RME core, Rihuum OS thin slice and one pilot</w:t>
            </w:r>
          </w:p>
        </w:tc>
        <w:tc>
          <w:tcPr>
            <w:tcW w:type="dxa" w:w="3240"/>
            <w:vAlign w:val="center"/>
            <w:tcMar>
              <w:top w:w="80" w:type="dxa"/>
              <w:start w:w="120" w:type="dxa"/>
              <w:bottom w:w="80" w:type="dxa"/>
              <w:end w:w="120" w:type="dxa"/>
            </w:tcMar>
          </w:tcPr>
          <w:p>
            <w:pPr>
              <w:spacing w:before="0" w:after="20" w:line="252" w:lineRule="auto"/>
              <w:jc w:val="left"/>
            </w:pPr>
            <w:r>
              <w:rPr>
                <w:color w:val="1D2733"/>
                <w:sz w:val="17"/>
              </w:rPr>
              <w:t>Founder/retained earnings, deposits, milestone billing, grants where suitable</w:t>
            </w:r>
          </w:p>
        </w:tc>
      </w:tr>
      <w:tr>
        <w:trPr>
          <w:cantSplit/>
        </w:trPr>
        <w:tc>
          <w:tcPr>
            <w:tcW w:type="dxa" w:w="1700"/>
            <w:vAlign w:val="center"/>
            <w:shd w:fill="FAFBFC"/>
            <w:tcMar>
              <w:top w:w="80" w:type="dxa"/>
              <w:start w:w="120" w:type="dxa"/>
              <w:bottom w:w="80" w:type="dxa"/>
              <w:end w:w="120" w:type="dxa"/>
            </w:tcMar>
          </w:tcPr>
          <w:p>
            <w:pPr>
              <w:spacing w:before="0" w:after="20" w:line="252" w:lineRule="auto"/>
              <w:jc w:val="left"/>
            </w:pPr>
            <w:r>
              <w:rPr>
                <w:color w:val="1D2733"/>
                <w:sz w:val="17"/>
              </w:rPr>
              <w:t>Base growth</w:t>
            </w:r>
          </w:p>
        </w:tc>
        <w:tc>
          <w:tcPr>
            <w:tcW w:type="dxa" w:w="4420"/>
            <w:vAlign w:val="center"/>
            <w:shd w:fill="FAFBFC"/>
            <w:tcMar>
              <w:top w:w="80" w:type="dxa"/>
              <w:start w:w="120" w:type="dxa"/>
              <w:bottom w:w="80" w:type="dxa"/>
              <w:end w:w="120" w:type="dxa"/>
            </w:tcMar>
          </w:tcPr>
          <w:p>
            <w:pPr>
              <w:spacing w:before="0" w:after="20" w:line="252" w:lineRule="auto"/>
              <w:jc w:val="left"/>
            </w:pPr>
            <w:r>
              <w:rPr>
                <w:color w:val="1D2733"/>
                <w:sz w:val="17"/>
              </w:rPr>
              <w:t>Repeatable product, customer-success capacity, Academy cohorts and managed services</w:t>
            </w:r>
          </w:p>
        </w:tc>
        <w:tc>
          <w:tcPr>
            <w:tcW w:type="dxa" w:w="3240"/>
            <w:vAlign w:val="center"/>
            <w:shd w:fill="FAFBFC"/>
            <w:tcMar>
              <w:top w:w="80" w:type="dxa"/>
              <w:start w:w="120" w:type="dxa"/>
              <w:bottom w:w="80" w:type="dxa"/>
              <w:end w:w="120" w:type="dxa"/>
            </w:tcMar>
          </w:tcPr>
          <w:p>
            <w:pPr>
              <w:spacing w:before="0" w:after="20" w:line="252" w:lineRule="auto"/>
              <w:jc w:val="left"/>
            </w:pPr>
            <w:r>
              <w:rPr>
                <w:color w:val="1D2733"/>
                <w:sz w:val="17"/>
              </w:rPr>
              <w:t>Operating cash, strategic partners, non-dilutive programmes and selective debt only against predictable cash</w:t>
            </w:r>
          </w:p>
        </w:tc>
      </w:tr>
      <w:tr>
        <w:trPr>
          <w:cantSplit/>
        </w:trPr>
        <w:tc>
          <w:tcPr>
            <w:tcW w:type="dxa" w:w="1700"/>
            <w:vAlign w:val="center"/>
            <w:tcMar>
              <w:top w:w="80" w:type="dxa"/>
              <w:start w:w="120" w:type="dxa"/>
              <w:bottom w:w="80" w:type="dxa"/>
              <w:end w:w="120" w:type="dxa"/>
            </w:tcMar>
          </w:tcPr>
          <w:p>
            <w:pPr>
              <w:spacing w:before="0" w:after="20" w:line="252" w:lineRule="auto"/>
              <w:jc w:val="left"/>
            </w:pPr>
            <w:r>
              <w:rPr>
                <w:color w:val="1D2733"/>
                <w:sz w:val="17"/>
              </w:rPr>
              <w:t>Accelerated scale</w:t>
            </w:r>
          </w:p>
        </w:tc>
        <w:tc>
          <w:tcPr>
            <w:tcW w:type="dxa" w:w="4420"/>
            <w:vAlign w:val="center"/>
            <w:tcMar>
              <w:top w:w="80" w:type="dxa"/>
              <w:start w:w="120" w:type="dxa"/>
              <w:bottom w:w="80" w:type="dxa"/>
              <w:end w:w="120" w:type="dxa"/>
            </w:tcMar>
          </w:tcPr>
          <w:p>
            <w:pPr>
              <w:spacing w:before="0" w:after="20" w:line="252" w:lineRule="auto"/>
              <w:jc w:val="left"/>
            </w:pPr>
            <w:r>
              <w:rPr>
                <w:color w:val="1D2733"/>
                <w:sz w:val="17"/>
              </w:rPr>
              <w:t>Regional sales, platform/cloud, assurance, sector modules and acquisitions/partnerships</w:t>
            </w:r>
          </w:p>
        </w:tc>
        <w:tc>
          <w:tcPr>
            <w:tcW w:type="dxa" w:w="3240"/>
            <w:vAlign w:val="center"/>
            <w:tcMar>
              <w:top w:w="80" w:type="dxa"/>
              <w:start w:w="120" w:type="dxa"/>
              <w:bottom w:w="80" w:type="dxa"/>
              <w:end w:w="120" w:type="dxa"/>
            </w:tcMar>
          </w:tcPr>
          <w:p>
            <w:pPr>
              <w:spacing w:before="0" w:after="20" w:line="252" w:lineRule="auto"/>
              <w:jc w:val="left"/>
            </w:pPr>
            <w:r>
              <w:rPr>
                <w:color w:val="1D2733"/>
                <w:sz w:val="17"/>
              </w:rPr>
              <w:t>Equity/strategic investment after governance, metrics, IP and unit economics are investor-ready</w:t>
            </w:r>
          </w:p>
        </w:tc>
      </w:tr>
    </w:tbl>
    <w:p>
      <w:pPr>
        <w:pStyle w:val="Heading2"/>
      </w:pPr>
      <w:r>
        <w:t>Investor readiness</w:t>
      </w:r>
    </w:p>
    <w:p>
      <w:pPr>
        <w:pStyle w:val="ListBullet"/>
        <w:keepLines/>
      </w:pPr>
      <w:r>
        <w:t>Clean corporate/statutory records, cap table, beneficial ownership, board minutes and material contracts.</w:t>
      </w:r>
    </w:p>
    <w:p>
      <w:pPr>
        <w:pStyle w:val="ListBullet"/>
        <w:keepLines/>
      </w:pPr>
      <w:r>
        <w:t>Assigned IP, domain/trademark records, open-source/data/model rights and employee/contractor agreements.</w:t>
      </w:r>
    </w:p>
    <w:p>
      <w:pPr>
        <w:pStyle w:val="ListBullet"/>
        <w:keepLines/>
      </w:pPr>
      <w:r>
        <w:t>Reconciled historical financials, forecasts, tax status, use of funds and scenario assumptions.</w:t>
      </w:r>
    </w:p>
    <w:p>
      <w:pPr>
        <w:pStyle w:val="ListBullet"/>
        <w:keepLines/>
      </w:pPr>
      <w:r>
        <w:t>Product architecture, security/privacy, client metrics, pipeline, unit economics, references and risk register.</w:t>
      </w:r>
    </w:p>
    <w:p>
      <w:pPr>
        <w:pStyle w:val="ListBullet"/>
        <w:keepLines/>
      </w:pPr>
      <w:r>
        <w:t>Data room index with controlled access, confidentiality, version ownership and disclosure log.</w:t>
      </w:r>
    </w:p>
    <w:p>
      <w:bookmarkStart w:id="33" w:name="sec33"/>
      <w:pPr>
        <w:pStyle w:val="Heading1"/>
        <w:keepNext/>
        <w:pageBreakBefore/>
      </w:pPr>
      <w:r>
        <w:t>SECTION 33 | Marketing, Branding, and Customer-Acquisition Strategy</w:t>
      </w:r>
      <w:bookmarkEnd w:id="33"/>
    </w:p>
    <w:p>
      <w:pPr>
        <w:pStyle w:val="LeadCallout"/>
        <w:shd w:fill="F4F6F9"/>
        <w:pBdr>
          <w:left w:val="single" w:sz="18" w:space="8" w:color="C99A2E"/>
        </w:pBdr>
      </w:pPr>
      <w:r>
        <w:rPr>
          <w:b/>
          <w:color w:val="102A43"/>
        </w:rPr>
        <w:t xml:space="preserve">Market message: </w:t>
      </w:r>
      <w:r>
        <w:t>Rihuum should be known for solving operational problems with secure, intelligent and maintainable technology - not for listing every technology it can use.</w:t>
      </w:r>
    </w:p>
    <w:p>
      <w:pPr>
        <w:pStyle w:val="Heading2"/>
      </w:pPr>
      <w:r>
        <w:t>Positioning pillars</w:t>
      </w:r>
    </w:p>
    <w:p>
      <w:pPr>
        <w:pStyle w:val="ListBullet"/>
        <w:keepLines/>
      </w:pPr>
      <w:r>
        <w:t>African context and international engineering discipline.</w:t>
      </w:r>
    </w:p>
    <w:p>
      <w:pPr>
        <w:pStyle w:val="ListBullet"/>
        <w:keepLines/>
      </w:pPr>
      <w:r>
        <w:t>One partner across software, AI, security, skills, infrastructure and selected smart/industry solutions.</w:t>
      </w:r>
    </w:p>
    <w:p>
      <w:pPr>
        <w:pStyle w:val="ListBullet"/>
        <w:keepLines/>
      </w:pPr>
      <w:r>
        <w:t>Rihuum Master Enterprises as the trusted shared core, with Rihuum OS as the modular digital operating experience connecting people, process, data and service.</w:t>
      </w:r>
    </w:p>
    <w:p>
      <w:pPr>
        <w:pStyle w:val="ListBullet"/>
        <w:keepLines/>
      </w:pPr>
      <w:r>
        <w:t>Responsible Agentic AI with clear authority, evidence, security and human accountability.</w:t>
      </w:r>
    </w:p>
    <w:p>
      <w:pPr>
        <w:pStyle w:val="ListBullet"/>
        <w:keepLines/>
      </w:pPr>
      <w:r>
        <w:t>Commercial outcomes, lifecycle support and migration readiness rather than one-off technology installation.</w:t>
      </w:r>
    </w:p>
    <w:p>
      <w:pPr>
        <w:pStyle w:val="Heading2"/>
      </w:pPr>
      <w:r>
        <w:t>Acquisition engine</w:t>
      </w:r>
    </w:p>
    <w:p>
      <w:pPr>
        <w:pStyle w:val="Caption"/>
      </w:pPr>
      <w:r>
        <w:t>Table 49. Customer journey and primary channels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500"/>
        <w:gridCol w:w="3220"/>
        <w:gridCol w:w="4640"/>
      </w:tblGrid>
      <w:tr>
        <w:trPr>
          <w:tblHeader w:val="true"/>
          <w:cantSplit/>
        </w:trPr>
        <w:tc>
          <w:tcPr>
            <w:tcW w:type="dxa" w:w="1500"/>
            <w:vAlign w:val="center"/>
            <w:shd w:fill="F2F4F7"/>
            <w:tcMar>
              <w:top w:w="80" w:type="dxa"/>
              <w:start w:w="120" w:type="dxa"/>
              <w:bottom w:w="80" w:type="dxa"/>
              <w:end w:w="120" w:type="dxa"/>
            </w:tcMar>
          </w:tcPr>
          <w:p>
            <w:pPr>
              <w:spacing w:before="0" w:after="0"/>
              <w:jc w:val="center"/>
            </w:pPr>
            <w:r>
              <w:rPr>
                <w:b/>
                <w:color w:val="102A43"/>
                <w:sz w:val="17"/>
              </w:rPr>
              <w:t>Stage</w:t>
            </w:r>
          </w:p>
        </w:tc>
        <w:tc>
          <w:tcPr>
            <w:tcW w:type="dxa" w:w="3220"/>
            <w:vAlign w:val="center"/>
            <w:shd w:fill="F2F4F7"/>
            <w:tcMar>
              <w:top w:w="80" w:type="dxa"/>
              <w:start w:w="120" w:type="dxa"/>
              <w:bottom w:w="80" w:type="dxa"/>
              <w:end w:w="120" w:type="dxa"/>
            </w:tcMar>
          </w:tcPr>
          <w:p>
            <w:pPr>
              <w:spacing w:before="0" w:after="0"/>
              <w:jc w:val="left"/>
            </w:pPr>
            <w:r>
              <w:rPr>
                <w:b/>
                <w:color w:val="102A43"/>
                <w:sz w:val="17"/>
              </w:rPr>
              <w:t>Customer question</w:t>
            </w:r>
          </w:p>
        </w:tc>
        <w:tc>
          <w:tcPr>
            <w:tcW w:type="dxa" w:w="4640"/>
            <w:vAlign w:val="center"/>
            <w:shd w:fill="F2F4F7"/>
            <w:tcMar>
              <w:top w:w="80" w:type="dxa"/>
              <w:start w:w="120" w:type="dxa"/>
              <w:bottom w:w="80" w:type="dxa"/>
              <w:end w:w="120" w:type="dxa"/>
            </w:tcMar>
          </w:tcPr>
          <w:p>
            <w:pPr>
              <w:spacing w:before="0" w:after="0"/>
              <w:jc w:val="left"/>
            </w:pPr>
            <w:r>
              <w:rPr>
                <w:b/>
                <w:color w:val="102A43"/>
                <w:sz w:val="17"/>
              </w:rPr>
              <w:t>Rihuum channels/content</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Awareness</w:t>
            </w:r>
          </w:p>
        </w:tc>
        <w:tc>
          <w:tcPr>
            <w:tcW w:type="dxa" w:w="3220"/>
            <w:vAlign w:val="center"/>
            <w:tcMar>
              <w:top w:w="80" w:type="dxa"/>
              <w:start w:w="120" w:type="dxa"/>
              <w:bottom w:w="80" w:type="dxa"/>
              <w:end w:w="120" w:type="dxa"/>
            </w:tcMar>
          </w:tcPr>
          <w:p>
            <w:pPr>
              <w:spacing w:before="0" w:after="20" w:line="252" w:lineRule="auto"/>
              <w:jc w:val="left"/>
            </w:pPr>
            <w:r>
              <w:rPr>
                <w:color w:val="1D2733"/>
                <w:sz w:val="16"/>
              </w:rPr>
              <w:t>Do they understand my industry problem?</w:t>
            </w:r>
          </w:p>
        </w:tc>
        <w:tc>
          <w:tcPr>
            <w:tcW w:type="dxa" w:w="4640"/>
            <w:vAlign w:val="center"/>
            <w:tcMar>
              <w:top w:w="80" w:type="dxa"/>
              <w:start w:w="120" w:type="dxa"/>
              <w:bottom w:w="80" w:type="dxa"/>
              <w:end w:w="120" w:type="dxa"/>
            </w:tcMar>
          </w:tcPr>
          <w:p>
            <w:pPr>
              <w:spacing w:before="0" w:after="20" w:line="252" w:lineRule="auto"/>
              <w:jc w:val="left"/>
            </w:pPr>
            <w:r>
              <w:rPr>
                <w:color w:val="1D2733"/>
                <w:sz w:val="16"/>
              </w:rPr>
              <w:t>Search-led articles, sector guides, social insight, events, Academy and partner presence</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Consideration</w:t>
            </w:r>
          </w:p>
        </w:tc>
        <w:tc>
          <w:tcPr>
            <w:tcW w:type="dxa" w:w="3220"/>
            <w:vAlign w:val="center"/>
            <w:shd w:fill="FAFBFC"/>
            <w:tcMar>
              <w:top w:w="80" w:type="dxa"/>
              <w:start w:w="120" w:type="dxa"/>
              <w:bottom w:w="80" w:type="dxa"/>
              <w:end w:w="120" w:type="dxa"/>
            </w:tcMar>
          </w:tcPr>
          <w:p>
            <w:pPr>
              <w:spacing w:before="0" w:after="20" w:line="252" w:lineRule="auto"/>
              <w:jc w:val="left"/>
            </w:pPr>
            <w:r>
              <w:rPr>
                <w:color w:val="1D2733"/>
                <w:sz w:val="16"/>
              </w:rPr>
              <w:t>Can they solve it safely and practically?</w:t>
            </w:r>
          </w:p>
        </w:tc>
        <w:tc>
          <w:tcPr>
            <w:tcW w:type="dxa" w:w="4640"/>
            <w:vAlign w:val="center"/>
            <w:shd w:fill="FAFBFC"/>
            <w:tcMar>
              <w:top w:w="80" w:type="dxa"/>
              <w:start w:w="120" w:type="dxa"/>
              <w:bottom w:w="80" w:type="dxa"/>
              <w:end w:w="120" w:type="dxa"/>
            </w:tcMar>
          </w:tcPr>
          <w:p>
            <w:pPr>
              <w:spacing w:before="0" w:after="20" w:line="252" w:lineRule="auto"/>
              <w:jc w:val="left"/>
            </w:pPr>
            <w:r>
              <w:rPr>
                <w:color w:val="1D2733"/>
                <w:sz w:val="16"/>
              </w:rPr>
              <w:t>Use cases, architecture/security explainers, workshops, demos and references</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Decision</w:t>
            </w:r>
          </w:p>
        </w:tc>
        <w:tc>
          <w:tcPr>
            <w:tcW w:type="dxa" w:w="3220"/>
            <w:vAlign w:val="center"/>
            <w:tcMar>
              <w:top w:w="80" w:type="dxa"/>
              <w:start w:w="120" w:type="dxa"/>
              <w:bottom w:w="80" w:type="dxa"/>
              <w:end w:w="120" w:type="dxa"/>
            </w:tcMar>
          </w:tcPr>
          <w:p>
            <w:pPr>
              <w:spacing w:before="0" w:after="20" w:line="252" w:lineRule="auto"/>
              <w:jc w:val="left"/>
            </w:pPr>
            <w:r>
              <w:rPr>
                <w:color w:val="1D2733"/>
                <w:sz w:val="16"/>
              </w:rPr>
              <w:t>Is value, cost, risk and implementation clear?</w:t>
            </w:r>
          </w:p>
        </w:tc>
        <w:tc>
          <w:tcPr>
            <w:tcW w:type="dxa" w:w="4640"/>
            <w:vAlign w:val="center"/>
            <w:tcMar>
              <w:top w:w="80" w:type="dxa"/>
              <w:start w:w="120" w:type="dxa"/>
              <w:bottom w:w="80" w:type="dxa"/>
              <w:end w:w="120" w:type="dxa"/>
            </w:tcMar>
          </w:tcPr>
          <w:p>
            <w:pPr>
              <w:spacing w:before="0" w:after="20" w:line="252" w:lineRule="auto"/>
              <w:jc w:val="left"/>
            </w:pPr>
            <w:r>
              <w:rPr>
                <w:color w:val="1D2733"/>
                <w:sz w:val="16"/>
              </w:rPr>
              <w:t>Discovery, business case, proposal, pilot, due-diligence pack and roadmap</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Onboarding</w:t>
            </w:r>
          </w:p>
        </w:tc>
        <w:tc>
          <w:tcPr>
            <w:tcW w:type="dxa" w:w="3220"/>
            <w:vAlign w:val="center"/>
            <w:shd w:fill="FAFBFC"/>
            <w:tcMar>
              <w:top w:w="80" w:type="dxa"/>
              <w:start w:w="120" w:type="dxa"/>
              <w:bottom w:w="80" w:type="dxa"/>
              <w:end w:w="120" w:type="dxa"/>
            </w:tcMar>
          </w:tcPr>
          <w:p>
            <w:pPr>
              <w:spacing w:before="0" w:after="20" w:line="252" w:lineRule="auto"/>
              <w:jc w:val="left"/>
            </w:pPr>
            <w:r>
              <w:rPr>
                <w:color w:val="1D2733"/>
                <w:sz w:val="16"/>
              </w:rPr>
              <w:t>Will we achieve value without disruption?</w:t>
            </w:r>
          </w:p>
        </w:tc>
        <w:tc>
          <w:tcPr>
            <w:tcW w:type="dxa" w:w="4640"/>
            <w:vAlign w:val="center"/>
            <w:shd w:fill="FAFBFC"/>
            <w:tcMar>
              <w:top w:w="80" w:type="dxa"/>
              <w:start w:w="120" w:type="dxa"/>
              <w:bottom w:w="80" w:type="dxa"/>
              <w:end w:w="120" w:type="dxa"/>
            </w:tcMar>
          </w:tcPr>
          <w:p>
            <w:pPr>
              <w:spacing w:before="0" w:after="20" w:line="252" w:lineRule="auto"/>
              <w:jc w:val="left"/>
            </w:pPr>
            <w:r>
              <w:rPr>
                <w:color w:val="1D2733"/>
                <w:sz w:val="16"/>
              </w:rPr>
              <w:t>Kickoff, implementation portal, training, readiness, status and hypercare</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Adoption</w:t>
            </w:r>
          </w:p>
        </w:tc>
        <w:tc>
          <w:tcPr>
            <w:tcW w:type="dxa" w:w="3220"/>
            <w:vAlign w:val="center"/>
            <w:tcMar>
              <w:top w:w="80" w:type="dxa"/>
              <w:start w:w="120" w:type="dxa"/>
              <w:bottom w:w="80" w:type="dxa"/>
              <w:end w:w="120" w:type="dxa"/>
            </w:tcMar>
          </w:tcPr>
          <w:p>
            <w:pPr>
              <w:spacing w:before="0" w:after="20" w:line="252" w:lineRule="auto"/>
              <w:jc w:val="left"/>
            </w:pPr>
            <w:r>
              <w:rPr>
                <w:color w:val="1D2733"/>
                <w:sz w:val="16"/>
              </w:rPr>
              <w:t>Are users succeeding and outcomes improving?</w:t>
            </w:r>
          </w:p>
        </w:tc>
        <w:tc>
          <w:tcPr>
            <w:tcW w:type="dxa" w:w="4640"/>
            <w:vAlign w:val="center"/>
            <w:tcMar>
              <w:top w:w="80" w:type="dxa"/>
              <w:start w:w="120" w:type="dxa"/>
              <w:bottom w:w="80" w:type="dxa"/>
              <w:end w:w="120" w:type="dxa"/>
            </w:tcMar>
          </w:tcPr>
          <w:p>
            <w:pPr>
              <w:spacing w:before="0" w:after="20" w:line="252" w:lineRule="auto"/>
              <w:jc w:val="left"/>
            </w:pPr>
            <w:r>
              <w:rPr>
                <w:color w:val="1D2733"/>
                <w:sz w:val="16"/>
              </w:rPr>
              <w:t>In-product guidance, knowledge, reviews, community and customer success</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Expansion/advocacy</w:t>
            </w:r>
          </w:p>
        </w:tc>
        <w:tc>
          <w:tcPr>
            <w:tcW w:type="dxa" w:w="3220"/>
            <w:vAlign w:val="center"/>
            <w:shd w:fill="FAFBFC"/>
            <w:tcMar>
              <w:top w:w="80" w:type="dxa"/>
              <w:start w:w="120" w:type="dxa"/>
              <w:bottom w:w="80" w:type="dxa"/>
              <w:end w:w="120" w:type="dxa"/>
            </w:tcMar>
          </w:tcPr>
          <w:p>
            <w:pPr>
              <w:spacing w:before="0" w:after="20" w:line="252" w:lineRule="auto"/>
              <w:jc w:val="left"/>
            </w:pPr>
            <w:r>
              <w:rPr>
                <w:color w:val="1D2733"/>
                <w:sz w:val="16"/>
              </w:rPr>
              <w:t>Should we renew, expand or recommend?</w:t>
            </w:r>
          </w:p>
        </w:tc>
        <w:tc>
          <w:tcPr>
            <w:tcW w:type="dxa" w:w="4640"/>
            <w:vAlign w:val="center"/>
            <w:shd w:fill="FAFBFC"/>
            <w:tcMar>
              <w:top w:w="80" w:type="dxa"/>
              <w:start w:w="120" w:type="dxa"/>
              <w:bottom w:w="80" w:type="dxa"/>
              <w:end w:w="120" w:type="dxa"/>
            </w:tcMar>
          </w:tcPr>
          <w:p>
            <w:pPr>
              <w:spacing w:before="0" w:after="20" w:line="252" w:lineRule="auto"/>
              <w:jc w:val="left"/>
            </w:pPr>
            <w:r>
              <w:rPr>
                <w:color w:val="1D2733"/>
                <w:sz w:val="16"/>
              </w:rPr>
              <w:t>Value report, roadmap, new modules, partner offers, case study and referrals</w:t>
            </w:r>
          </w:p>
        </w:tc>
      </w:tr>
    </w:tbl>
    <w:p>
      <w:pPr>
        <w:pStyle w:val="Heading2"/>
      </w:pPr>
      <w:r>
        <w:t>Blog and index strategy</w:t>
      </w:r>
    </w:p>
    <w:p>
      <w:r>
        <w:t>Each domain should publish original, expert-reviewed articles that answer real buyer and practitioner questions. The initial editorial pillars are RME, Rihuum OS and business systems; responsible AI and Agentic AI; cybersecurity and data protection; digital skills and careers; cloud/infrastructure; smart security/IoT/telematics; hospitality technology; analytics and innovation. Each article requires a defined audience, search intent, author/reviewer, evidence links, practical examples, update date, accessible structure, original value and conversion path. Do not mass-publish generic AI text or copy third-party work; quality, expertise and freshness are the indexing strategy.</w:t>
      </w:r>
    </w:p>
    <w:p>
      <w:pPr>
        <w:pStyle w:val="Heading2"/>
      </w:pPr>
      <w:r>
        <w:t>CRM and marketing operations</w:t>
      </w:r>
    </w:p>
    <w:p>
      <w:pPr>
        <w:pStyle w:val="ListBullet"/>
        <w:keepLines/>
      </w:pPr>
      <w:r>
        <w:t>One account/contact model, lead source taxonomy, consent/lawful-basis record, lifecycle stage and owner across all domains.</w:t>
      </w:r>
    </w:p>
    <w:p>
      <w:pPr>
        <w:pStyle w:val="ListBullet"/>
        <w:keepLines/>
      </w:pPr>
      <w:r>
        <w:t>Qualification criteria and response targets; no unowned leads or personal contact spreadsheets outside approved systems.</w:t>
      </w:r>
    </w:p>
    <w:p>
      <w:pPr>
        <w:pStyle w:val="ListBullet"/>
        <w:keepLines/>
      </w:pPr>
      <w:r>
        <w:t>Campaign naming, cost, target, content, channel, conversion and revenue attribution with privacy-respecting analytics.</w:t>
      </w:r>
    </w:p>
    <w:p>
      <w:pPr>
        <w:pStyle w:val="ListBullet"/>
        <w:keepLines/>
      </w:pPr>
      <w:r>
        <w:t>Email/SMS preference centre, suppression, opt-out and frequency controls; purchased or scraped lists require legal and ethical rejection/review.</w:t>
      </w:r>
    </w:p>
    <w:p>
      <w:pPr>
        <w:pStyle w:val="ListBullet"/>
        <w:keepLines/>
      </w:pPr>
      <w:r>
        <w:t>Monthly funnel review from qualified demand to collected revenue, implementation success, retention and expansion.</w:t>
      </w:r>
    </w:p>
    <w:p>
      <w:pPr>
        <w:pStyle w:val="Heading2"/>
      </w:pPr>
      <w:r>
        <w:t>Brand controls</w:t>
      </w:r>
    </w:p>
    <w:p>
      <w:pPr>
        <w:pStyle w:val="ListBullet"/>
        <w:keepLines/>
      </w:pPr>
      <w:r>
        <w:t>Official logo master files, brand guide, approved templates and asset repository with usage rights.</w:t>
      </w:r>
    </w:p>
    <w:p>
      <w:pPr>
        <w:pStyle w:val="ListBullet"/>
        <w:keepLines/>
      </w:pPr>
      <w:r>
        <w:t>Legal name, RC, email, phones, domain and 'Built and Developed by Rihuum Intercontinental Limited' attribution on controlled artifacts as applicable.</w:t>
      </w:r>
    </w:p>
    <w:p>
      <w:pPr>
        <w:pStyle w:val="ListBullet"/>
        <w:keepLines/>
      </w:pPr>
      <w:r>
        <w:t>Technical, legal, client-confidentiality and evidence review for product, security, AI, performance, certification and customer-result claims.</w:t>
      </w:r>
    </w:p>
    <w:p>
      <w:pPr>
        <w:pStyle w:val="ListBullet"/>
        <w:keepLines/>
      </w:pPr>
      <w:r>
        <w:t>Social account register, named owners, MFA, recovery contacts, approval and incident/takedown process.</w:t>
      </w:r>
    </w:p>
    <w:p>
      <w:bookmarkStart w:id="34" w:name="sec34"/>
      <w:pPr>
        <w:pStyle w:val="Heading1"/>
        <w:keepNext/>
        <w:pageBreakBefore/>
      </w:pPr>
      <w:r>
        <w:t>SECTION 34 | Key Performance Indicators and Reporting Framework</w:t>
      </w:r>
      <w:bookmarkEnd w:id="34"/>
    </w:p>
    <w:p>
      <w:pPr>
        <w:pStyle w:val="LeadCallout"/>
        <w:shd w:fill="F4F6F9"/>
        <w:pBdr>
          <w:left w:val="single" w:sz="18" w:space="8" w:color="C99A2E"/>
        </w:pBdr>
      </w:pPr>
      <w:r>
        <w:rPr>
          <w:b/>
          <w:color w:val="102A43"/>
        </w:rPr>
        <w:t xml:space="preserve">Measurement rule: </w:t>
      </w:r>
      <w:r>
        <w:t>A KPI has one definition, source, owner, cadence and decision. Establish baselines in the first 90 days, then approve targets; do not reward teams for metrics they can improve while harming customer value or risk.</w:t>
      </w:r>
    </w:p>
    <w:p>
      <w:pPr>
        <w:pStyle w:val="Caption"/>
      </w:pPr>
      <w:r>
        <w:t>Table 50. Enterprise KPI framework</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500"/>
        <w:gridCol w:w="5050"/>
        <w:gridCol w:w="2810"/>
      </w:tblGrid>
      <w:tr>
        <w:trPr>
          <w:tblHeader w:val="true"/>
          <w:cantSplit/>
        </w:trPr>
        <w:tc>
          <w:tcPr>
            <w:tcW w:type="dxa" w:w="1500"/>
            <w:vAlign w:val="center"/>
            <w:shd w:fill="F2F4F7"/>
            <w:tcMar>
              <w:top w:w="80" w:type="dxa"/>
              <w:start w:w="120" w:type="dxa"/>
              <w:bottom w:w="80" w:type="dxa"/>
              <w:end w:w="120" w:type="dxa"/>
            </w:tcMar>
          </w:tcPr>
          <w:p>
            <w:pPr>
              <w:spacing w:before="0" w:after="0"/>
              <w:jc w:val="center"/>
            </w:pPr>
            <w:r>
              <w:rPr>
                <w:b/>
                <w:color w:val="102A43"/>
                <w:sz w:val="17"/>
              </w:rPr>
              <w:t>Perspective</w:t>
            </w:r>
          </w:p>
        </w:tc>
        <w:tc>
          <w:tcPr>
            <w:tcW w:type="dxa" w:w="5050"/>
            <w:vAlign w:val="center"/>
            <w:shd w:fill="F2F4F7"/>
            <w:tcMar>
              <w:top w:w="80" w:type="dxa"/>
              <w:start w:w="120" w:type="dxa"/>
              <w:bottom w:w="80" w:type="dxa"/>
              <w:end w:w="120" w:type="dxa"/>
            </w:tcMar>
          </w:tcPr>
          <w:p>
            <w:pPr>
              <w:spacing w:before="0" w:after="0"/>
              <w:jc w:val="center"/>
            </w:pPr>
            <w:r>
              <w:rPr>
                <w:b/>
                <w:color w:val="102A43"/>
                <w:sz w:val="17"/>
              </w:rPr>
              <w:t>Core measures</w:t>
            </w:r>
          </w:p>
        </w:tc>
        <w:tc>
          <w:tcPr>
            <w:tcW w:type="dxa" w:w="2810"/>
            <w:vAlign w:val="center"/>
            <w:shd w:fill="F2F4F7"/>
            <w:tcMar>
              <w:top w:w="80" w:type="dxa"/>
              <w:start w:w="120" w:type="dxa"/>
              <w:bottom w:w="80" w:type="dxa"/>
              <w:end w:w="120" w:type="dxa"/>
            </w:tcMar>
          </w:tcPr>
          <w:p>
            <w:pPr>
              <w:spacing w:before="0" w:after="0"/>
              <w:jc w:val="left"/>
            </w:pPr>
            <w:r>
              <w:rPr>
                <w:b/>
                <w:color w:val="102A43"/>
                <w:sz w:val="17"/>
              </w:rPr>
              <w:t>Primary decisions</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Financial</w:t>
            </w:r>
          </w:p>
        </w:tc>
        <w:tc>
          <w:tcPr>
            <w:tcW w:type="dxa" w:w="5050"/>
            <w:vAlign w:val="center"/>
            <w:tcMar>
              <w:top w:w="80" w:type="dxa"/>
              <w:start w:w="120" w:type="dxa"/>
              <w:bottom w:w="80" w:type="dxa"/>
              <w:end w:w="120" w:type="dxa"/>
            </w:tcMar>
          </w:tcPr>
          <w:p>
            <w:pPr>
              <w:spacing w:before="0" w:after="20" w:line="252" w:lineRule="auto"/>
              <w:jc w:val="left"/>
            </w:pPr>
            <w:r>
              <w:rPr>
                <w:color w:val="1D2733"/>
                <w:sz w:val="16"/>
              </w:rPr>
              <w:t>Collected revenue, recurring revenue, gross/contribution margin, operating cash, runway, receivables age and forecast variance</w:t>
            </w:r>
          </w:p>
        </w:tc>
        <w:tc>
          <w:tcPr>
            <w:tcW w:type="dxa" w:w="2810"/>
            <w:vAlign w:val="center"/>
            <w:tcMar>
              <w:top w:w="80" w:type="dxa"/>
              <w:start w:w="120" w:type="dxa"/>
              <w:bottom w:w="80" w:type="dxa"/>
              <w:end w:w="120" w:type="dxa"/>
            </w:tcMar>
          </w:tcPr>
          <w:p>
            <w:pPr>
              <w:spacing w:before="0" w:after="20" w:line="252" w:lineRule="auto"/>
              <w:jc w:val="left"/>
            </w:pPr>
            <w:r>
              <w:rPr>
                <w:color w:val="1D2733"/>
                <w:sz w:val="16"/>
              </w:rPr>
              <w:t>Capital, price, collections, capacity and portfolio</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Commercial</w:t>
            </w:r>
          </w:p>
        </w:tc>
        <w:tc>
          <w:tcPr>
            <w:tcW w:type="dxa" w:w="5050"/>
            <w:vAlign w:val="center"/>
            <w:shd w:fill="FAFBFC"/>
            <w:tcMar>
              <w:top w:w="80" w:type="dxa"/>
              <w:start w:w="120" w:type="dxa"/>
              <w:bottom w:w="80" w:type="dxa"/>
              <w:end w:w="120" w:type="dxa"/>
            </w:tcMar>
          </w:tcPr>
          <w:p>
            <w:pPr>
              <w:spacing w:before="0" w:after="20" w:line="252" w:lineRule="auto"/>
              <w:jc w:val="left"/>
            </w:pPr>
            <w:r>
              <w:rPr>
                <w:color w:val="1D2733"/>
                <w:sz w:val="16"/>
              </w:rPr>
              <w:t>Qualified pipeline, win rate, sales cycle, acquisition cost, average contract, channel contribution and concentration</w:t>
            </w:r>
          </w:p>
        </w:tc>
        <w:tc>
          <w:tcPr>
            <w:tcW w:type="dxa" w:w="2810"/>
            <w:vAlign w:val="center"/>
            <w:shd w:fill="FAFBFC"/>
            <w:tcMar>
              <w:top w:w="80" w:type="dxa"/>
              <w:start w:w="120" w:type="dxa"/>
              <w:bottom w:w="80" w:type="dxa"/>
              <w:end w:w="120" w:type="dxa"/>
            </w:tcMar>
          </w:tcPr>
          <w:p>
            <w:pPr>
              <w:spacing w:before="0" w:after="20" w:line="252" w:lineRule="auto"/>
              <w:jc w:val="left"/>
            </w:pPr>
            <w:r>
              <w:rPr>
                <w:color w:val="1D2733"/>
                <w:sz w:val="16"/>
              </w:rPr>
              <w:t>Segment, channel, offer and sales capacity</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Customer</w:t>
            </w:r>
          </w:p>
        </w:tc>
        <w:tc>
          <w:tcPr>
            <w:tcW w:type="dxa" w:w="5050"/>
            <w:vAlign w:val="center"/>
            <w:tcMar>
              <w:top w:w="80" w:type="dxa"/>
              <w:start w:w="120" w:type="dxa"/>
              <w:bottom w:w="80" w:type="dxa"/>
              <w:end w:w="120" w:type="dxa"/>
            </w:tcMar>
          </w:tcPr>
          <w:p>
            <w:pPr>
              <w:spacing w:before="0" w:after="20" w:line="252" w:lineRule="auto"/>
              <w:jc w:val="left"/>
            </w:pPr>
            <w:r>
              <w:rPr>
                <w:color w:val="1D2733"/>
                <w:sz w:val="16"/>
              </w:rPr>
              <w:t>Activation/time-to-value, adoption, retention/renewal, expansion, satisfaction, complaint and support effort</w:t>
            </w:r>
          </w:p>
        </w:tc>
        <w:tc>
          <w:tcPr>
            <w:tcW w:type="dxa" w:w="2810"/>
            <w:vAlign w:val="center"/>
            <w:tcMar>
              <w:top w:w="80" w:type="dxa"/>
              <w:start w:w="120" w:type="dxa"/>
              <w:bottom w:w="80" w:type="dxa"/>
              <w:end w:w="120" w:type="dxa"/>
            </w:tcMar>
          </w:tcPr>
          <w:p>
            <w:pPr>
              <w:spacing w:before="0" w:after="20" w:line="252" w:lineRule="auto"/>
              <w:jc w:val="left"/>
            </w:pPr>
            <w:r>
              <w:rPr>
                <w:color w:val="1D2733"/>
                <w:sz w:val="16"/>
              </w:rPr>
              <w:t>Onboarding, product gaps, success and renewal</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Product</w:t>
            </w:r>
          </w:p>
        </w:tc>
        <w:tc>
          <w:tcPr>
            <w:tcW w:type="dxa" w:w="5050"/>
            <w:vAlign w:val="center"/>
            <w:shd w:fill="FAFBFC"/>
            <w:tcMar>
              <w:top w:w="80" w:type="dxa"/>
              <w:start w:w="120" w:type="dxa"/>
              <w:bottom w:w="80" w:type="dxa"/>
              <w:end w:w="120" w:type="dxa"/>
            </w:tcMar>
          </w:tcPr>
          <w:p>
            <w:pPr>
              <w:spacing w:before="0" w:after="20" w:line="252" w:lineRule="auto"/>
              <w:jc w:val="left"/>
            </w:pPr>
            <w:r>
              <w:rPr>
                <w:color w:val="1D2733"/>
                <w:sz w:val="16"/>
              </w:rPr>
              <w:t>Active tenants/users, workflow completion, feature adoption, outcome metric, reliability and unit cost</w:t>
            </w:r>
          </w:p>
        </w:tc>
        <w:tc>
          <w:tcPr>
            <w:tcW w:type="dxa" w:w="2810"/>
            <w:vAlign w:val="center"/>
            <w:shd w:fill="FAFBFC"/>
            <w:tcMar>
              <w:top w:w="80" w:type="dxa"/>
              <w:start w:w="120" w:type="dxa"/>
              <w:bottom w:w="80" w:type="dxa"/>
              <w:end w:w="120" w:type="dxa"/>
            </w:tcMar>
          </w:tcPr>
          <w:p>
            <w:pPr>
              <w:spacing w:before="0" w:after="20" w:line="252" w:lineRule="auto"/>
              <w:jc w:val="left"/>
            </w:pPr>
            <w:r>
              <w:rPr>
                <w:color w:val="1D2733"/>
                <w:sz w:val="16"/>
              </w:rPr>
              <w:t>Roadmap, usability, packaging and retirement</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Engineering</w:t>
            </w:r>
          </w:p>
        </w:tc>
        <w:tc>
          <w:tcPr>
            <w:tcW w:type="dxa" w:w="5050"/>
            <w:vAlign w:val="center"/>
            <w:tcMar>
              <w:top w:w="80" w:type="dxa"/>
              <w:start w:w="120" w:type="dxa"/>
              <w:bottom w:w="80" w:type="dxa"/>
              <w:end w:w="120" w:type="dxa"/>
            </w:tcMar>
          </w:tcPr>
          <w:p>
            <w:pPr>
              <w:spacing w:before="0" w:after="20" w:line="252" w:lineRule="auto"/>
              <w:jc w:val="left"/>
            </w:pPr>
            <w:r>
              <w:rPr>
                <w:color w:val="1D2733"/>
                <w:sz w:val="16"/>
              </w:rPr>
              <w:t>Lead time, deployment frequency, change failure, restore time, escaped defects and automation reliability</w:t>
            </w:r>
          </w:p>
        </w:tc>
        <w:tc>
          <w:tcPr>
            <w:tcW w:type="dxa" w:w="2810"/>
            <w:vAlign w:val="center"/>
            <w:tcMar>
              <w:top w:w="80" w:type="dxa"/>
              <w:start w:w="120" w:type="dxa"/>
              <w:bottom w:w="80" w:type="dxa"/>
              <w:end w:w="120" w:type="dxa"/>
            </w:tcMar>
          </w:tcPr>
          <w:p>
            <w:pPr>
              <w:spacing w:before="0" w:after="20" w:line="252" w:lineRule="auto"/>
              <w:jc w:val="left"/>
            </w:pPr>
            <w:r>
              <w:rPr>
                <w:color w:val="1D2733"/>
                <w:sz w:val="16"/>
              </w:rPr>
              <w:t>Process, architecture, quality and staffing</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Security/privacy</w:t>
            </w:r>
          </w:p>
        </w:tc>
        <w:tc>
          <w:tcPr>
            <w:tcW w:type="dxa" w:w="5050"/>
            <w:vAlign w:val="center"/>
            <w:shd w:fill="FAFBFC"/>
            <w:tcMar>
              <w:top w:w="80" w:type="dxa"/>
              <w:start w:w="120" w:type="dxa"/>
              <w:bottom w:w="80" w:type="dxa"/>
              <w:end w:w="120" w:type="dxa"/>
            </w:tcMar>
          </w:tcPr>
          <w:p>
            <w:pPr>
              <w:spacing w:before="0" w:after="20" w:line="252" w:lineRule="auto"/>
              <w:jc w:val="left"/>
            </w:pPr>
            <w:r>
              <w:rPr>
                <w:color w:val="1D2733"/>
                <w:sz w:val="16"/>
              </w:rPr>
              <w:t>MFA/access coverage, vulnerability age, control tests, incidents, recovery tests, rights requests and vendor risk</w:t>
            </w:r>
          </w:p>
        </w:tc>
        <w:tc>
          <w:tcPr>
            <w:tcW w:type="dxa" w:w="2810"/>
            <w:vAlign w:val="center"/>
            <w:shd w:fill="FAFBFC"/>
            <w:tcMar>
              <w:top w:w="80" w:type="dxa"/>
              <w:start w:w="120" w:type="dxa"/>
              <w:bottom w:w="80" w:type="dxa"/>
              <w:end w:w="120" w:type="dxa"/>
            </w:tcMar>
          </w:tcPr>
          <w:p>
            <w:pPr>
              <w:spacing w:before="0" w:after="20" w:line="252" w:lineRule="auto"/>
              <w:jc w:val="left"/>
            </w:pPr>
            <w:r>
              <w:rPr>
                <w:color w:val="1D2733"/>
                <w:sz w:val="16"/>
              </w:rPr>
              <w:t>Risk treatment, assurance and investment</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Service operations</w:t>
            </w:r>
          </w:p>
        </w:tc>
        <w:tc>
          <w:tcPr>
            <w:tcW w:type="dxa" w:w="5050"/>
            <w:vAlign w:val="center"/>
            <w:tcMar>
              <w:top w:w="80" w:type="dxa"/>
              <w:start w:w="120" w:type="dxa"/>
              <w:bottom w:w="80" w:type="dxa"/>
              <w:end w:w="120" w:type="dxa"/>
            </w:tcMar>
          </w:tcPr>
          <w:p>
            <w:pPr>
              <w:spacing w:before="0" w:after="20" w:line="252" w:lineRule="auto"/>
              <w:jc w:val="left"/>
            </w:pPr>
            <w:r>
              <w:rPr>
                <w:color w:val="1D2733"/>
                <w:sz w:val="16"/>
              </w:rPr>
              <w:t>Availability, incident response/resolution, backlog age, first-contact resolution, recurrence and SLA attainment</w:t>
            </w:r>
          </w:p>
        </w:tc>
        <w:tc>
          <w:tcPr>
            <w:tcW w:type="dxa" w:w="2810"/>
            <w:vAlign w:val="center"/>
            <w:tcMar>
              <w:top w:w="80" w:type="dxa"/>
              <w:start w:w="120" w:type="dxa"/>
              <w:bottom w:w="80" w:type="dxa"/>
              <w:end w:w="120" w:type="dxa"/>
            </w:tcMar>
          </w:tcPr>
          <w:p>
            <w:pPr>
              <w:spacing w:before="0" w:after="20" w:line="252" w:lineRule="auto"/>
              <w:jc w:val="left"/>
            </w:pPr>
            <w:r>
              <w:rPr>
                <w:color w:val="1D2733"/>
                <w:sz w:val="16"/>
              </w:rPr>
              <w:t>Support capacity, reliability and knowledge</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People/Academy</w:t>
            </w:r>
          </w:p>
        </w:tc>
        <w:tc>
          <w:tcPr>
            <w:tcW w:type="dxa" w:w="5050"/>
            <w:vAlign w:val="center"/>
            <w:shd w:fill="FAFBFC"/>
            <w:tcMar>
              <w:top w:w="80" w:type="dxa"/>
              <w:start w:w="120" w:type="dxa"/>
              <w:bottom w:w="80" w:type="dxa"/>
              <w:end w:w="120" w:type="dxa"/>
            </w:tcMar>
          </w:tcPr>
          <w:p>
            <w:pPr>
              <w:spacing w:before="0" w:after="20" w:line="252" w:lineRule="auto"/>
              <w:jc w:val="left"/>
            </w:pPr>
            <w:r>
              <w:rPr>
                <w:color w:val="1D2733"/>
                <w:sz w:val="16"/>
              </w:rPr>
              <w:t>Critical-role coverage, time-to-productivity, performance, retention, skills application, completion and employment/client outcomes</w:t>
            </w:r>
          </w:p>
        </w:tc>
        <w:tc>
          <w:tcPr>
            <w:tcW w:type="dxa" w:w="2810"/>
            <w:vAlign w:val="center"/>
            <w:shd w:fill="FAFBFC"/>
            <w:tcMar>
              <w:top w:w="80" w:type="dxa"/>
              <w:start w:w="120" w:type="dxa"/>
              <w:bottom w:w="80" w:type="dxa"/>
              <w:end w:w="120" w:type="dxa"/>
            </w:tcMar>
          </w:tcPr>
          <w:p>
            <w:pPr>
              <w:spacing w:before="0" w:after="20" w:line="252" w:lineRule="auto"/>
              <w:jc w:val="left"/>
            </w:pPr>
            <w:r>
              <w:rPr>
                <w:color w:val="1D2733"/>
                <w:sz w:val="16"/>
              </w:rPr>
              <w:t>Recruitment, learning, succession and programme design</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Innovation</w:t>
            </w:r>
          </w:p>
        </w:tc>
        <w:tc>
          <w:tcPr>
            <w:tcW w:type="dxa" w:w="5050"/>
            <w:vAlign w:val="center"/>
            <w:tcMar>
              <w:top w:w="80" w:type="dxa"/>
              <w:start w:w="120" w:type="dxa"/>
              <w:bottom w:w="80" w:type="dxa"/>
              <w:end w:w="120" w:type="dxa"/>
            </w:tcMar>
          </w:tcPr>
          <w:p>
            <w:pPr>
              <w:spacing w:before="0" w:after="20" w:line="252" w:lineRule="auto"/>
              <w:jc w:val="left"/>
            </w:pPr>
            <w:r>
              <w:rPr>
                <w:color w:val="1D2733"/>
                <w:sz w:val="16"/>
              </w:rPr>
              <w:t>Experiments completed, time-to-evidence, validation rate, IP/reuse, pilot conversion and research spend</w:t>
            </w:r>
          </w:p>
        </w:tc>
        <w:tc>
          <w:tcPr>
            <w:tcW w:type="dxa" w:w="2810"/>
            <w:vAlign w:val="center"/>
            <w:tcMar>
              <w:top w:w="80" w:type="dxa"/>
              <w:start w:w="120" w:type="dxa"/>
              <w:bottom w:w="80" w:type="dxa"/>
              <w:end w:w="120" w:type="dxa"/>
            </w:tcMar>
          </w:tcPr>
          <w:p>
            <w:pPr>
              <w:spacing w:before="0" w:after="20" w:line="252" w:lineRule="auto"/>
              <w:jc w:val="left"/>
            </w:pPr>
            <w:r>
              <w:rPr>
                <w:color w:val="1D2733"/>
                <w:sz w:val="16"/>
              </w:rPr>
              <w:t>Continue, transfer, partner or stop</w:t>
            </w:r>
          </w:p>
        </w:tc>
      </w:tr>
    </w:tbl>
    <w:p>
      <w:pPr>
        <w:pStyle w:val="Heading2"/>
      </w:pPr>
      <w:r>
        <w:t>Metric definition standard</w:t>
      </w:r>
    </w:p>
    <w:p>
      <w:pPr>
        <w:pStyle w:val="ListBullet"/>
        <w:keepLines/>
      </w:pPr>
      <w:r>
        <w:t>Name and decision purpose; exact numerator, denominator, inclusion/exclusion and time basis.</w:t>
      </w:r>
    </w:p>
    <w:p>
      <w:pPr>
        <w:pStyle w:val="ListBullet"/>
        <w:keepLines/>
      </w:pPr>
      <w:r>
        <w:t>Authoritative system/source, data owner, refresh, reconciliation and quality checks.</w:t>
      </w:r>
    </w:p>
    <w:p>
      <w:pPr>
        <w:pStyle w:val="ListBullet"/>
        <w:keepLines/>
      </w:pPr>
      <w:r>
        <w:t>Segment dimensions such as product, plan, sector, country, cohort, channel and client - subject to privacy and minimum group size.</w:t>
      </w:r>
    </w:p>
    <w:p>
      <w:pPr>
        <w:pStyle w:val="ListBullet"/>
        <w:keepLines/>
      </w:pPr>
      <w:r>
        <w:t>Baseline, target, threshold/guardrail, direction, owner and action when outside range.</w:t>
      </w:r>
    </w:p>
    <w:p>
      <w:pPr>
        <w:pStyle w:val="ListBullet"/>
        <w:keepLines/>
      </w:pPr>
      <w:r>
        <w:t>Change log so historical comparisons remain interpretable after a definition or source change.</w:t>
      </w:r>
    </w:p>
    <w:p>
      <w:pPr>
        <w:pStyle w:val="Heading2"/>
      </w:pPr>
      <w:r>
        <w:t>Reporting cadence</w:t>
      </w:r>
    </w:p>
    <w:p>
      <w:pPr>
        <w:pStyle w:val="ListBullet"/>
        <w:keepLines/>
      </w:pPr>
      <w:r>
        <w:t>Daily/real-time: service health, security alerts, critical queues, payment failures and field safety as needed.</w:t>
      </w:r>
    </w:p>
    <w:p>
      <w:pPr>
        <w:pStyle w:val="ListBullet"/>
        <w:keepLines/>
      </w:pPr>
      <w:r>
        <w:t>Weekly: cash/collections, pipeline movement, delivery, incidents, client risk and blockers.</w:t>
      </w:r>
    </w:p>
    <w:p>
      <w:pPr>
        <w:pStyle w:val="ListBullet"/>
        <w:keepLines/>
      </w:pPr>
      <w:r>
        <w:t>Monthly: executive scorecard with trends, forecast, drivers, decisions and action ownership.</w:t>
      </w:r>
    </w:p>
    <w:p>
      <w:pPr>
        <w:pStyle w:val="ListBullet"/>
        <w:keepLines/>
      </w:pPr>
      <w:r>
        <w:t>Quarterly: board strategy, portfolio, risk, financial, customer, people, technology and market review.</w:t>
      </w:r>
    </w:p>
    <w:p>
      <w:pPr>
        <w:pStyle w:val="ListBullet"/>
        <w:keepLines/>
      </w:pPr>
      <w:r>
        <w:t>Annual: audited/reconciled performance, strategy and budget, control maturity, business continuity and public impact where appropriate.</w:t>
      </w:r>
    </w:p>
    <w:p>
      <w:pPr>
        <w:pStyle w:val="Heading2"/>
      </w:pPr>
      <w:r>
        <w:t>Data quality</w:t>
      </w:r>
    </w:p>
    <w:p>
      <w:r>
        <w:t>Every board KPI should be traceable to reconciled source data. Automated dashboards do not remove ownership: review completeness, accuracy, timeliness, uniqueness, validity and consistency; disclose material gaps and estimates. Finance is reconciled to accounting/bank records; CRM to signed contracts and collections; product telemetry to known identities/events; support to ticket records.</w:t>
      </w:r>
    </w:p>
    <w:p>
      <w:bookmarkStart w:id="35" w:name="sec35"/>
      <w:pPr>
        <w:pStyle w:val="Heading1"/>
        <w:keepNext/>
        <w:pageBreakBefore/>
      </w:pPr>
      <w:r>
        <w:t>SECTION 35 | Implementation Phases, Timelines, and Milestones</w:t>
      </w:r>
      <w:bookmarkEnd w:id="35"/>
    </w:p>
    <w:p>
      <w:pPr>
        <w:pStyle w:val="LeadCallout"/>
        <w:shd w:fill="F4F6F9"/>
        <w:pBdr>
          <w:left w:val="single" w:sz="18" w:space="8" w:color="C99A2E"/>
        </w:pBdr>
      </w:pPr>
      <w:r>
        <w:rPr>
          <w:b/>
          <w:color w:val="102A43"/>
        </w:rPr>
        <w:t xml:space="preserve">Execution discipline: </w:t>
      </w:r>
      <w:r>
        <w:t>The roadmap starts immediately, but commitments beyond the next gate remain conditional on evidence, resources and board approval. Each milestone closes with documented acceptance, not optimistic status language.</w:t>
      </w:r>
    </w:p>
    <w:p>
      <w:pPr>
        <w:pStyle w:val="Caption"/>
      </w:pPr>
      <w:r>
        <w:t>Table 51. Integrated implementation roadmap</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1500"/>
        <w:gridCol w:w="4860"/>
        <w:gridCol w:w="3000"/>
      </w:tblGrid>
      <w:tr>
        <w:trPr>
          <w:tblHeader w:val="true"/>
          <w:cantSplit/>
        </w:trPr>
        <w:tc>
          <w:tcPr>
            <w:tcW w:type="dxa" w:w="1500"/>
            <w:vAlign w:val="center"/>
            <w:shd w:fill="F2F4F7"/>
            <w:tcMar>
              <w:top w:w="80" w:type="dxa"/>
              <w:start w:w="120" w:type="dxa"/>
              <w:bottom w:w="80" w:type="dxa"/>
              <w:end w:w="120" w:type="dxa"/>
            </w:tcMar>
          </w:tcPr>
          <w:p>
            <w:pPr>
              <w:spacing w:before="0" w:after="0"/>
              <w:jc w:val="center"/>
            </w:pPr>
            <w:r>
              <w:rPr>
                <w:b/>
                <w:color w:val="102A43"/>
                <w:sz w:val="17"/>
              </w:rPr>
              <w:t>Period</w:t>
            </w:r>
          </w:p>
        </w:tc>
        <w:tc>
          <w:tcPr>
            <w:tcW w:type="dxa" w:w="4860"/>
            <w:vAlign w:val="center"/>
            <w:shd w:fill="F2F4F7"/>
            <w:tcMar>
              <w:top w:w="80" w:type="dxa"/>
              <w:start w:w="120" w:type="dxa"/>
              <w:bottom w:w="80" w:type="dxa"/>
              <w:end w:w="120" w:type="dxa"/>
            </w:tcMar>
          </w:tcPr>
          <w:p>
            <w:pPr>
              <w:spacing w:before="0" w:after="0"/>
              <w:jc w:val="left"/>
            </w:pPr>
            <w:r>
              <w:rPr>
                <w:b/>
                <w:color w:val="102A43"/>
                <w:sz w:val="17"/>
              </w:rPr>
              <w:t>Enterprise milestones</w:t>
            </w:r>
          </w:p>
        </w:tc>
        <w:tc>
          <w:tcPr>
            <w:tcW w:type="dxa" w:w="3000"/>
            <w:vAlign w:val="center"/>
            <w:shd w:fill="F2F4F7"/>
            <w:tcMar>
              <w:top w:w="80" w:type="dxa"/>
              <w:start w:w="120" w:type="dxa"/>
              <w:bottom w:w="80" w:type="dxa"/>
              <w:end w:w="120" w:type="dxa"/>
            </w:tcMar>
          </w:tcPr>
          <w:p>
            <w:pPr>
              <w:spacing w:before="0" w:after="0"/>
              <w:jc w:val="center"/>
            </w:pPr>
            <w:r>
              <w:rPr>
                <w:b/>
                <w:color w:val="102A43"/>
                <w:sz w:val="17"/>
              </w:rPr>
              <w:t>Exit evidence</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0-30 days</w:t>
            </w:r>
          </w:p>
        </w:tc>
        <w:tc>
          <w:tcPr>
            <w:tcW w:type="dxa" w:w="4860"/>
            <w:vAlign w:val="center"/>
            <w:tcMar>
              <w:top w:w="80" w:type="dxa"/>
              <w:start w:w="120" w:type="dxa"/>
              <w:bottom w:w="80" w:type="dxa"/>
              <w:end w:w="120" w:type="dxa"/>
            </w:tcMar>
          </w:tcPr>
          <w:p>
            <w:pPr>
              <w:spacing w:before="0" w:after="20" w:line="252" w:lineRule="auto"/>
              <w:jc w:val="left"/>
            </w:pPr>
            <w:r>
              <w:rPr>
                <w:color w:val="1D2733"/>
                <w:sz w:val="16"/>
              </w:rPr>
              <w:t>Appoint owners; verify corporate/domain facts; inventory portfolio/assets; establish registers; approve architecture and top risks</w:t>
            </w:r>
          </w:p>
        </w:tc>
        <w:tc>
          <w:tcPr>
            <w:tcW w:type="dxa" w:w="3000"/>
            <w:vAlign w:val="center"/>
            <w:tcMar>
              <w:top w:w="80" w:type="dxa"/>
              <w:start w:w="120" w:type="dxa"/>
              <w:bottom w:w="80" w:type="dxa"/>
              <w:end w:w="120" w:type="dxa"/>
            </w:tcMar>
          </w:tcPr>
          <w:p>
            <w:pPr>
              <w:spacing w:before="0" w:after="20" w:line="252" w:lineRule="auto"/>
              <w:jc w:val="left"/>
            </w:pPr>
            <w:r>
              <w:rPr>
                <w:color w:val="1D2733"/>
                <w:sz w:val="16"/>
              </w:rPr>
              <w:t>Signed ownership, verified-facts list, portfolio map, risk/actions and 90-day budget</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31-90 days</w:t>
            </w:r>
          </w:p>
        </w:tc>
        <w:tc>
          <w:tcPr>
            <w:tcW w:type="dxa" w:w="4860"/>
            <w:vAlign w:val="center"/>
            <w:shd w:fill="FAFBFC"/>
            <w:tcMar>
              <w:top w:w="80" w:type="dxa"/>
              <w:start w:w="120" w:type="dxa"/>
              <w:bottom w:w="80" w:type="dxa"/>
              <w:end w:w="120" w:type="dxa"/>
            </w:tcMar>
          </w:tcPr>
          <w:p>
            <w:pPr>
              <w:spacing w:before="0" w:after="20" w:line="252" w:lineRule="auto"/>
              <w:jc w:val="left"/>
            </w:pPr>
            <w:r>
              <w:rPr>
                <w:color w:val="1D2733"/>
                <w:sz w:val="16"/>
              </w:rPr>
              <w:t>Three-domain foundation; CRM/service/finance basics; repositories/CI/environments; backups; RME core prototype and Rihuum OS shell; first market discovery</w:t>
            </w:r>
          </w:p>
        </w:tc>
        <w:tc>
          <w:tcPr>
            <w:tcW w:type="dxa" w:w="3000"/>
            <w:vAlign w:val="center"/>
            <w:shd w:fill="FAFBFC"/>
            <w:tcMar>
              <w:top w:w="80" w:type="dxa"/>
              <w:start w:w="120" w:type="dxa"/>
              <w:bottom w:w="80" w:type="dxa"/>
              <w:end w:w="120" w:type="dxa"/>
            </w:tcMar>
          </w:tcPr>
          <w:p>
            <w:pPr>
              <w:spacing w:before="0" w:after="20" w:line="252" w:lineRule="auto"/>
              <w:jc w:val="left"/>
            </w:pPr>
            <w:r>
              <w:rPr>
                <w:color w:val="1D2733"/>
                <w:sz w:val="16"/>
              </w:rPr>
              <w:t>Working digital ecosystem, restore test, release evidence, RME/OS demo and pilot decision</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Months 4-6</w:t>
            </w:r>
          </w:p>
        </w:tc>
        <w:tc>
          <w:tcPr>
            <w:tcW w:type="dxa" w:w="4860"/>
            <w:vAlign w:val="center"/>
            <w:tcMar>
              <w:top w:w="80" w:type="dxa"/>
              <w:start w:w="120" w:type="dxa"/>
              <w:bottom w:w="80" w:type="dxa"/>
              <w:end w:w="120" w:type="dxa"/>
            </w:tcMar>
          </w:tcPr>
          <w:p>
            <w:pPr>
              <w:spacing w:before="0" w:after="20" w:line="252" w:lineRule="auto"/>
              <w:jc w:val="left"/>
            </w:pPr>
            <w:r>
              <w:rPr>
                <w:color w:val="1D2733"/>
                <w:sz w:val="16"/>
              </w:rPr>
              <w:t>Paid lighthouse pilot; RME identity/workflow/licensing/support through a Rihuum OS thin slice; Academy LMS pilot; security/privacy baseline and onboarding playbook</w:t>
            </w:r>
          </w:p>
        </w:tc>
        <w:tc>
          <w:tcPr>
            <w:tcW w:type="dxa" w:w="3000"/>
            <w:vAlign w:val="center"/>
            <w:tcMar>
              <w:top w:w="80" w:type="dxa"/>
              <w:start w:w="120" w:type="dxa"/>
              <w:bottom w:w="80" w:type="dxa"/>
              <w:end w:w="120" w:type="dxa"/>
            </w:tcMar>
          </w:tcPr>
          <w:p>
            <w:pPr>
              <w:spacing w:before="0" w:after="20" w:line="252" w:lineRule="auto"/>
              <w:jc w:val="left"/>
            </w:pPr>
            <w:r>
              <w:rPr>
                <w:color w:val="1D2733"/>
                <w:sz w:val="16"/>
              </w:rPr>
              <w:t>Pilot acceptance, adoption/quality data, compatibility evidence, support runbook, processing records and unit-cost view</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Months 7-12</w:t>
            </w:r>
          </w:p>
        </w:tc>
        <w:tc>
          <w:tcPr>
            <w:tcW w:type="dxa" w:w="4860"/>
            <w:vAlign w:val="center"/>
            <w:shd w:fill="FAFBFC"/>
            <w:tcMar>
              <w:top w:w="80" w:type="dxa"/>
              <w:start w:w="120" w:type="dxa"/>
              <w:bottom w:w="80" w:type="dxa"/>
              <w:end w:w="120" w:type="dxa"/>
            </w:tcMar>
          </w:tcPr>
          <w:p>
            <w:pPr>
              <w:spacing w:before="0" w:after="20" w:line="252" w:lineRule="auto"/>
              <w:jc w:val="left"/>
            </w:pPr>
            <w:r>
              <w:rPr>
                <w:color w:val="1D2733"/>
                <w:sz w:val="16"/>
              </w:rPr>
              <w:t>General-availability narrow offer; subscription/billing; customer success; partner pilots; migrate workload if triggers met</w:t>
            </w:r>
          </w:p>
        </w:tc>
        <w:tc>
          <w:tcPr>
            <w:tcW w:type="dxa" w:w="3000"/>
            <w:vAlign w:val="center"/>
            <w:shd w:fill="FAFBFC"/>
            <w:tcMar>
              <w:top w:w="80" w:type="dxa"/>
              <w:start w:w="120" w:type="dxa"/>
              <w:bottom w:w="80" w:type="dxa"/>
              <w:end w:w="120" w:type="dxa"/>
            </w:tcMar>
          </w:tcPr>
          <w:p>
            <w:pPr>
              <w:spacing w:before="0" w:after="20" w:line="252" w:lineRule="auto"/>
              <w:jc w:val="left"/>
            </w:pPr>
            <w:r>
              <w:rPr>
                <w:color w:val="1D2733"/>
                <w:sz w:val="16"/>
              </w:rPr>
              <w:t>Repeatable deployment, renewal intent, margin evidence, release cadence and board scale decision</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Months 13-24</w:t>
            </w:r>
          </w:p>
        </w:tc>
        <w:tc>
          <w:tcPr>
            <w:tcW w:type="dxa" w:w="4860"/>
            <w:vAlign w:val="center"/>
            <w:tcMar>
              <w:top w:w="80" w:type="dxa"/>
              <w:start w:w="120" w:type="dxa"/>
              <w:bottom w:w="80" w:type="dxa"/>
              <w:end w:w="120" w:type="dxa"/>
            </w:tcMar>
          </w:tcPr>
          <w:p>
            <w:pPr>
              <w:spacing w:before="0" w:after="20" w:line="252" w:lineRule="auto"/>
              <w:jc w:val="left"/>
            </w:pPr>
            <w:r>
              <w:rPr>
                <w:color w:val="1D2733"/>
                <w:sz w:val="16"/>
              </w:rPr>
              <w:t>Additional validated modules; VPS/cloud platform; advanced RIA; regional partner entry; independent assurance</w:t>
            </w:r>
          </w:p>
        </w:tc>
        <w:tc>
          <w:tcPr>
            <w:tcW w:type="dxa" w:w="3000"/>
            <w:vAlign w:val="center"/>
            <w:tcMar>
              <w:top w:w="80" w:type="dxa"/>
              <w:start w:w="120" w:type="dxa"/>
              <w:bottom w:w="80" w:type="dxa"/>
              <w:end w:w="120" w:type="dxa"/>
            </w:tcMar>
          </w:tcPr>
          <w:p>
            <w:pPr>
              <w:spacing w:before="0" w:after="20" w:line="252" w:lineRule="auto"/>
              <w:jc w:val="left"/>
            </w:pPr>
            <w:r>
              <w:rPr>
                <w:color w:val="1D2733"/>
                <w:sz w:val="16"/>
              </w:rPr>
              <w:t>Multi-client/sector reference base, scalable operations, assurance findings closed and country gate</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Months 25-36</w:t>
            </w:r>
          </w:p>
        </w:tc>
        <w:tc>
          <w:tcPr>
            <w:tcW w:type="dxa" w:w="4860"/>
            <w:vAlign w:val="center"/>
            <w:shd w:fill="FAFBFC"/>
            <w:tcMar>
              <w:top w:w="80" w:type="dxa"/>
              <w:start w:w="120" w:type="dxa"/>
              <w:bottom w:w="80" w:type="dxa"/>
              <w:end w:w="120" w:type="dxa"/>
            </w:tcMar>
          </w:tcPr>
          <w:p>
            <w:pPr>
              <w:spacing w:before="0" w:after="20" w:line="252" w:lineRule="auto"/>
              <w:jc w:val="left"/>
            </w:pPr>
            <w:r>
              <w:rPr>
                <w:color w:val="1D2733"/>
                <w:sz w:val="16"/>
              </w:rPr>
              <w:t>Extension/marketplace controls; private/enterprise deployments; selected West African scale; venture commercialisation</w:t>
            </w:r>
          </w:p>
        </w:tc>
        <w:tc>
          <w:tcPr>
            <w:tcW w:type="dxa" w:w="3000"/>
            <w:vAlign w:val="center"/>
            <w:shd w:fill="FAFBFC"/>
            <w:tcMar>
              <w:top w:w="80" w:type="dxa"/>
              <w:start w:w="120" w:type="dxa"/>
              <w:bottom w:w="80" w:type="dxa"/>
              <w:end w:w="120" w:type="dxa"/>
            </w:tcMar>
          </w:tcPr>
          <w:p>
            <w:pPr>
              <w:spacing w:before="0" w:after="20" w:line="252" w:lineRule="auto"/>
              <w:jc w:val="left"/>
            </w:pPr>
            <w:r>
              <w:rPr>
                <w:color w:val="1D2733"/>
                <w:sz w:val="16"/>
              </w:rPr>
              <w:t>Stable platform contracts, partner economics, regional service model and funded growth plan</w:t>
            </w:r>
          </w:p>
        </w:tc>
      </w:tr>
      <w:tr>
        <w:trPr>
          <w:cantSplit/>
        </w:trPr>
        <w:tc>
          <w:tcPr>
            <w:tcW w:type="dxa" w:w="1500"/>
            <w:vAlign w:val="center"/>
            <w:tcMar>
              <w:top w:w="80" w:type="dxa"/>
              <w:start w:w="120" w:type="dxa"/>
              <w:bottom w:w="80" w:type="dxa"/>
              <w:end w:w="120" w:type="dxa"/>
            </w:tcMar>
          </w:tcPr>
          <w:p>
            <w:pPr>
              <w:spacing w:before="0" w:after="20" w:line="252" w:lineRule="auto"/>
              <w:jc w:val="left"/>
            </w:pPr>
            <w:r>
              <w:rPr>
                <w:color w:val="1D2733"/>
                <w:sz w:val="16"/>
              </w:rPr>
              <w:t>Years 3-5</w:t>
            </w:r>
          </w:p>
        </w:tc>
        <w:tc>
          <w:tcPr>
            <w:tcW w:type="dxa" w:w="4860"/>
            <w:vAlign w:val="center"/>
            <w:tcMar>
              <w:top w:w="80" w:type="dxa"/>
              <w:start w:w="120" w:type="dxa"/>
              <w:bottom w:w="80" w:type="dxa"/>
              <w:end w:w="120" w:type="dxa"/>
            </w:tcMar>
          </w:tcPr>
          <w:p>
            <w:pPr>
              <w:spacing w:before="0" w:after="20" w:line="252" w:lineRule="auto"/>
              <w:jc w:val="left"/>
            </w:pPr>
            <w:r>
              <w:rPr>
                <w:color w:val="1D2733"/>
                <w:sz w:val="16"/>
              </w:rPr>
              <w:t>Pan-African sector plays, mature product lines, certifications where justified, data/research assets and selective acquisitions</w:t>
            </w:r>
          </w:p>
        </w:tc>
        <w:tc>
          <w:tcPr>
            <w:tcW w:type="dxa" w:w="3000"/>
            <w:vAlign w:val="center"/>
            <w:tcMar>
              <w:top w:w="80" w:type="dxa"/>
              <w:start w:w="120" w:type="dxa"/>
              <w:bottom w:w="80" w:type="dxa"/>
              <w:end w:w="120" w:type="dxa"/>
            </w:tcMar>
          </w:tcPr>
          <w:p>
            <w:pPr>
              <w:spacing w:before="0" w:after="20" w:line="252" w:lineRule="auto"/>
              <w:jc w:val="left"/>
            </w:pPr>
            <w:r>
              <w:rPr>
                <w:color w:val="1D2733"/>
                <w:sz w:val="16"/>
              </w:rPr>
              <w:t>Sustainable recurring economics, governance maturity and recognised market position</w:t>
            </w:r>
          </w:p>
        </w:tc>
      </w:tr>
      <w:tr>
        <w:trPr>
          <w:cantSplit/>
        </w:trPr>
        <w:tc>
          <w:tcPr>
            <w:tcW w:type="dxa" w:w="1500"/>
            <w:vAlign w:val="center"/>
            <w:shd w:fill="FAFBFC"/>
            <w:tcMar>
              <w:top w:w="80" w:type="dxa"/>
              <w:start w:w="120" w:type="dxa"/>
              <w:bottom w:w="80" w:type="dxa"/>
              <w:end w:w="120" w:type="dxa"/>
            </w:tcMar>
          </w:tcPr>
          <w:p>
            <w:pPr>
              <w:spacing w:before="0" w:after="20" w:line="252" w:lineRule="auto"/>
              <w:jc w:val="left"/>
            </w:pPr>
            <w:r>
              <w:rPr>
                <w:color w:val="1D2733"/>
                <w:sz w:val="16"/>
              </w:rPr>
              <w:t>Years 5-10+</w:t>
            </w:r>
          </w:p>
        </w:tc>
        <w:tc>
          <w:tcPr>
            <w:tcW w:type="dxa" w:w="4860"/>
            <w:vAlign w:val="center"/>
            <w:shd w:fill="FAFBFC"/>
            <w:tcMar>
              <w:top w:w="80" w:type="dxa"/>
              <w:start w:w="120" w:type="dxa"/>
              <w:bottom w:w="80" w:type="dxa"/>
              <w:end w:w="120" w:type="dxa"/>
            </w:tcMar>
          </w:tcPr>
          <w:p>
            <w:pPr>
              <w:spacing w:before="0" w:after="20" w:line="252" w:lineRule="auto"/>
              <w:jc w:val="left"/>
            </w:pPr>
            <w:r>
              <w:rPr>
                <w:color w:val="1D2733"/>
                <w:sz w:val="16"/>
              </w:rPr>
              <w:t>International software exports, strategic infrastructure/AI capability, venture portfolio and enduring talent ecosystem</w:t>
            </w:r>
          </w:p>
        </w:tc>
        <w:tc>
          <w:tcPr>
            <w:tcW w:type="dxa" w:w="3000"/>
            <w:vAlign w:val="center"/>
            <w:shd w:fill="FAFBFC"/>
            <w:tcMar>
              <w:top w:w="80" w:type="dxa"/>
              <w:start w:w="120" w:type="dxa"/>
              <w:bottom w:w="80" w:type="dxa"/>
              <w:end w:w="120" w:type="dxa"/>
            </w:tcMar>
          </w:tcPr>
          <w:p>
            <w:pPr>
              <w:spacing w:before="0" w:after="20" w:line="252" w:lineRule="auto"/>
              <w:jc w:val="left"/>
            </w:pPr>
            <w:r>
              <w:rPr>
                <w:color w:val="1D2733"/>
                <w:sz w:val="16"/>
              </w:rPr>
              <w:t>Diversified resilient enterprise with measurable economic and societal impact</w:t>
            </w:r>
          </w:p>
        </w:tc>
      </w:tr>
    </w:tbl>
    <w:p>
      <w:pPr>
        <w:pStyle w:val="Heading2"/>
      </w:pPr>
      <w:r>
        <w:t>Workstream milestones</w:t>
      </w:r>
    </w:p>
    <w:p>
      <w:pPr>
        <w:pStyle w:val="Caption"/>
      </w:pPr>
      <w:r>
        <w:t>Table 52. First-year workstreams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150"/>
        <w:gridCol w:w="3600"/>
        <w:gridCol w:w="3610"/>
      </w:tblGrid>
      <w:tr>
        <w:trPr>
          <w:tblHeader w:val="true"/>
          <w:cantSplit/>
        </w:trPr>
        <w:tc>
          <w:tcPr>
            <w:tcW w:type="dxa" w:w="2150"/>
            <w:vAlign w:val="center"/>
            <w:shd w:fill="F2F4F7"/>
            <w:tcMar>
              <w:top w:w="80" w:type="dxa"/>
              <w:start w:w="120" w:type="dxa"/>
              <w:bottom w:w="80" w:type="dxa"/>
              <w:end w:w="120" w:type="dxa"/>
            </w:tcMar>
          </w:tcPr>
          <w:p>
            <w:pPr>
              <w:spacing w:before="0" w:after="0"/>
              <w:jc w:val="center"/>
            </w:pPr>
            <w:r>
              <w:rPr>
                <w:b/>
                <w:color w:val="102A43"/>
                <w:sz w:val="17"/>
              </w:rPr>
              <w:t>Workstream</w:t>
            </w:r>
          </w:p>
        </w:tc>
        <w:tc>
          <w:tcPr>
            <w:tcW w:type="dxa" w:w="3600"/>
            <w:vAlign w:val="center"/>
            <w:shd w:fill="F2F4F7"/>
            <w:tcMar>
              <w:top w:w="80" w:type="dxa"/>
              <w:start w:w="120" w:type="dxa"/>
              <w:bottom w:w="80" w:type="dxa"/>
              <w:end w:w="120" w:type="dxa"/>
            </w:tcMar>
          </w:tcPr>
          <w:p>
            <w:pPr>
              <w:spacing w:before="0" w:after="0"/>
              <w:jc w:val="left"/>
            </w:pPr>
            <w:r>
              <w:rPr>
                <w:b/>
                <w:color w:val="102A43"/>
                <w:sz w:val="17"/>
              </w:rPr>
              <w:t>90-day milestone</w:t>
            </w:r>
          </w:p>
        </w:tc>
        <w:tc>
          <w:tcPr>
            <w:tcW w:type="dxa" w:w="3610"/>
            <w:vAlign w:val="center"/>
            <w:shd w:fill="F2F4F7"/>
            <w:tcMar>
              <w:top w:w="80" w:type="dxa"/>
              <w:start w:w="120" w:type="dxa"/>
              <w:bottom w:w="80" w:type="dxa"/>
              <w:end w:w="120" w:type="dxa"/>
            </w:tcMar>
          </w:tcPr>
          <w:p>
            <w:pPr>
              <w:spacing w:before="0" w:after="0"/>
              <w:jc w:val="left"/>
            </w:pPr>
            <w:r>
              <w:rPr>
                <w:b/>
                <w:color w:val="102A43"/>
                <w:sz w:val="17"/>
              </w:rPr>
              <w:t>12-month milestone</w:t>
            </w:r>
          </w:p>
        </w:tc>
      </w:tr>
      <w:tr>
        <w:trPr>
          <w:cantSplit/>
        </w:trPr>
        <w:tc>
          <w:tcPr>
            <w:tcW w:type="dxa" w:w="2150"/>
            <w:vAlign w:val="center"/>
            <w:tcMar>
              <w:top w:w="80" w:type="dxa"/>
              <w:start w:w="120" w:type="dxa"/>
              <w:bottom w:w="80" w:type="dxa"/>
              <w:end w:w="120" w:type="dxa"/>
            </w:tcMar>
          </w:tcPr>
          <w:p>
            <w:pPr>
              <w:spacing w:before="0" w:after="20" w:line="252" w:lineRule="auto"/>
              <w:jc w:val="left"/>
            </w:pPr>
            <w:r>
              <w:rPr>
                <w:color w:val="1D2733"/>
                <w:sz w:val="16"/>
              </w:rPr>
              <w:t>Corporate/legal</w:t>
            </w:r>
          </w:p>
        </w:tc>
        <w:tc>
          <w:tcPr>
            <w:tcW w:type="dxa" w:w="3600"/>
            <w:vAlign w:val="center"/>
            <w:tcMar>
              <w:top w:w="80" w:type="dxa"/>
              <w:start w:w="120" w:type="dxa"/>
              <w:bottom w:w="80" w:type="dxa"/>
              <w:end w:w="120" w:type="dxa"/>
            </w:tcMar>
          </w:tcPr>
          <w:p>
            <w:pPr>
              <w:spacing w:before="0" w:after="20" w:line="252" w:lineRule="auto"/>
              <w:jc w:val="left"/>
            </w:pPr>
            <w:r>
              <w:rPr>
                <w:color w:val="1D2733"/>
                <w:sz w:val="16"/>
              </w:rPr>
              <w:t>Verified records, obligations and contract templates</w:t>
            </w:r>
          </w:p>
        </w:tc>
        <w:tc>
          <w:tcPr>
            <w:tcW w:type="dxa" w:w="3610"/>
            <w:vAlign w:val="center"/>
            <w:tcMar>
              <w:top w:w="80" w:type="dxa"/>
              <w:start w:w="120" w:type="dxa"/>
              <w:bottom w:w="80" w:type="dxa"/>
              <w:end w:w="120" w:type="dxa"/>
            </w:tcMar>
          </w:tcPr>
          <w:p>
            <w:pPr>
              <w:spacing w:before="0" w:after="20" w:line="252" w:lineRule="auto"/>
              <w:jc w:val="left"/>
            </w:pPr>
            <w:r>
              <w:rPr>
                <w:color w:val="1D2733"/>
                <w:sz w:val="16"/>
              </w:rPr>
              <w:t>Current filings, IP register, vendor/client controls and legal review cadence</w:t>
            </w:r>
          </w:p>
        </w:tc>
      </w:tr>
      <w:tr>
        <w:trPr>
          <w:cantSplit/>
        </w:trPr>
        <w:tc>
          <w:tcPr>
            <w:tcW w:type="dxa" w:w="2150"/>
            <w:vAlign w:val="center"/>
            <w:shd w:fill="FAFBFC"/>
            <w:tcMar>
              <w:top w:w="80" w:type="dxa"/>
              <w:start w:w="120" w:type="dxa"/>
              <w:bottom w:w="80" w:type="dxa"/>
              <w:end w:w="120" w:type="dxa"/>
            </w:tcMar>
          </w:tcPr>
          <w:p>
            <w:pPr>
              <w:spacing w:before="0" w:after="20" w:line="252" w:lineRule="auto"/>
              <w:jc w:val="left"/>
            </w:pPr>
            <w:r>
              <w:rPr>
                <w:color w:val="1D2733"/>
                <w:sz w:val="16"/>
              </w:rPr>
              <w:t>Brand/domains</w:t>
            </w:r>
          </w:p>
        </w:tc>
        <w:tc>
          <w:tcPr>
            <w:tcW w:type="dxa" w:w="3600"/>
            <w:vAlign w:val="center"/>
            <w:shd w:fill="FAFBFC"/>
            <w:tcMar>
              <w:top w:w="80" w:type="dxa"/>
              <w:start w:w="120" w:type="dxa"/>
              <w:bottom w:w="80" w:type="dxa"/>
              <w:end w:w="120" w:type="dxa"/>
            </w:tcMar>
          </w:tcPr>
          <w:p>
            <w:pPr>
              <w:spacing w:before="0" w:after="20" w:line="252" w:lineRule="auto"/>
              <w:jc w:val="left"/>
            </w:pPr>
            <w:r>
              <w:rPr>
                <w:color w:val="1D2733"/>
                <w:sz w:val="16"/>
              </w:rPr>
              <w:t>Three-domain architecture and shared design/content governance</w:t>
            </w:r>
          </w:p>
        </w:tc>
        <w:tc>
          <w:tcPr>
            <w:tcW w:type="dxa" w:w="3610"/>
            <w:vAlign w:val="center"/>
            <w:shd w:fill="FAFBFC"/>
            <w:tcMar>
              <w:top w:w="80" w:type="dxa"/>
              <w:start w:w="120" w:type="dxa"/>
              <w:bottom w:w="80" w:type="dxa"/>
              <w:end w:w="120" w:type="dxa"/>
            </w:tcMar>
          </w:tcPr>
          <w:p>
            <w:pPr>
              <w:spacing w:before="0" w:after="20" w:line="252" w:lineRule="auto"/>
              <w:jc w:val="left"/>
            </w:pPr>
            <w:r>
              <w:rPr>
                <w:color w:val="1D2733"/>
                <w:sz w:val="16"/>
              </w:rPr>
              <w:t>Measurable acquisition, original blog library and controlled client operations</w:t>
            </w:r>
          </w:p>
        </w:tc>
      </w:tr>
      <w:tr>
        <w:trPr>
          <w:cantSplit/>
        </w:trPr>
        <w:tc>
          <w:tcPr>
            <w:tcW w:type="dxa" w:w="2150"/>
            <w:vAlign w:val="center"/>
            <w:tcMar>
              <w:top w:w="80" w:type="dxa"/>
              <w:start w:w="120" w:type="dxa"/>
              <w:bottom w:w="80" w:type="dxa"/>
              <w:end w:w="120" w:type="dxa"/>
            </w:tcMar>
          </w:tcPr>
          <w:p>
            <w:pPr>
              <w:spacing w:before="0" w:after="20" w:line="252" w:lineRule="auto"/>
              <w:jc w:val="left"/>
            </w:pPr>
            <w:r>
              <w:rPr>
                <w:color w:val="1D2733"/>
                <w:sz w:val="16"/>
              </w:rPr>
              <w:t>RME and Rihuum OS</w:t>
            </w:r>
          </w:p>
        </w:tc>
        <w:tc>
          <w:tcPr>
            <w:tcW w:type="dxa" w:w="3600"/>
            <w:vAlign w:val="center"/>
            <w:tcMar>
              <w:top w:w="80" w:type="dxa"/>
              <w:start w:w="120" w:type="dxa"/>
              <w:bottom w:w="80" w:type="dxa"/>
              <w:end w:w="120" w:type="dxa"/>
            </w:tcMar>
          </w:tcPr>
          <w:p>
            <w:pPr>
              <w:spacing w:before="0" w:after="20" w:line="252" w:lineRule="auto"/>
              <w:jc w:val="left"/>
            </w:pPr>
            <w:r>
              <w:rPr>
                <w:color w:val="1D2733"/>
                <w:sz w:val="16"/>
              </w:rPr>
              <w:t>RME contracts, core architecture and OS demonstrator</w:t>
            </w:r>
          </w:p>
        </w:tc>
        <w:tc>
          <w:tcPr>
            <w:tcW w:type="dxa" w:w="3610"/>
            <w:vAlign w:val="center"/>
            <w:tcMar>
              <w:top w:w="80" w:type="dxa"/>
              <w:start w:w="120" w:type="dxa"/>
              <w:bottom w:w="80" w:type="dxa"/>
              <w:end w:w="120" w:type="dxa"/>
            </w:tcMar>
          </w:tcPr>
          <w:p>
            <w:pPr>
              <w:spacing w:before="0" w:after="20" w:line="252" w:lineRule="auto"/>
              <w:jc w:val="left"/>
            </w:pPr>
            <w:r>
              <w:rPr>
                <w:color w:val="1D2733"/>
                <w:sz w:val="16"/>
              </w:rPr>
              <w:t>Supported RME-powered commercial thin slice with paid clients and roadmap evidence</w:t>
            </w:r>
          </w:p>
        </w:tc>
      </w:tr>
      <w:tr>
        <w:trPr>
          <w:cantSplit/>
        </w:trPr>
        <w:tc>
          <w:tcPr>
            <w:tcW w:type="dxa" w:w="2150"/>
            <w:vAlign w:val="center"/>
            <w:shd w:fill="FAFBFC"/>
            <w:tcMar>
              <w:top w:w="80" w:type="dxa"/>
              <w:start w:w="120" w:type="dxa"/>
              <w:bottom w:w="80" w:type="dxa"/>
              <w:end w:w="120" w:type="dxa"/>
            </w:tcMar>
          </w:tcPr>
          <w:p>
            <w:pPr>
              <w:spacing w:before="0" w:after="20" w:line="252" w:lineRule="auto"/>
              <w:jc w:val="left"/>
            </w:pPr>
            <w:r>
              <w:rPr>
                <w:color w:val="1D2733"/>
                <w:sz w:val="16"/>
              </w:rPr>
              <w:t>AI/data</w:t>
            </w:r>
          </w:p>
        </w:tc>
        <w:tc>
          <w:tcPr>
            <w:tcW w:type="dxa" w:w="3600"/>
            <w:vAlign w:val="center"/>
            <w:shd w:fill="FAFBFC"/>
            <w:tcMar>
              <w:top w:w="80" w:type="dxa"/>
              <w:start w:w="120" w:type="dxa"/>
              <w:bottom w:w="80" w:type="dxa"/>
              <w:end w:w="120" w:type="dxa"/>
            </w:tcMar>
          </w:tcPr>
          <w:p>
            <w:pPr>
              <w:spacing w:before="0" w:after="20" w:line="252" w:lineRule="auto"/>
              <w:jc w:val="left"/>
            </w:pPr>
            <w:r>
              <w:rPr>
                <w:color w:val="1D2733"/>
                <w:sz w:val="16"/>
              </w:rPr>
              <w:t>RIA policy, model gateway design and bounded assistant</w:t>
            </w:r>
          </w:p>
        </w:tc>
        <w:tc>
          <w:tcPr>
            <w:tcW w:type="dxa" w:w="3610"/>
            <w:vAlign w:val="center"/>
            <w:shd w:fill="FAFBFC"/>
            <w:tcMar>
              <w:top w:w="80" w:type="dxa"/>
              <w:start w:w="120" w:type="dxa"/>
              <w:bottom w:w="80" w:type="dxa"/>
              <w:end w:w="120" w:type="dxa"/>
            </w:tcMar>
          </w:tcPr>
          <w:p>
            <w:pPr>
              <w:spacing w:before="0" w:after="20" w:line="252" w:lineRule="auto"/>
              <w:jc w:val="left"/>
            </w:pPr>
            <w:r>
              <w:rPr>
                <w:color w:val="1D2733"/>
                <w:sz w:val="16"/>
              </w:rPr>
              <w:t>Evaluated production AI and approved Level 3 agent workflow</w:t>
            </w:r>
          </w:p>
        </w:tc>
      </w:tr>
      <w:tr>
        <w:trPr>
          <w:cantSplit/>
        </w:trPr>
        <w:tc>
          <w:tcPr>
            <w:tcW w:type="dxa" w:w="2150"/>
            <w:vAlign w:val="center"/>
            <w:tcMar>
              <w:top w:w="80" w:type="dxa"/>
              <w:start w:w="120" w:type="dxa"/>
              <w:bottom w:w="80" w:type="dxa"/>
              <w:end w:w="120" w:type="dxa"/>
            </w:tcMar>
          </w:tcPr>
          <w:p>
            <w:pPr>
              <w:spacing w:before="0" w:after="20" w:line="252" w:lineRule="auto"/>
              <w:jc w:val="left"/>
            </w:pPr>
            <w:r>
              <w:rPr>
                <w:color w:val="1D2733"/>
                <w:sz w:val="16"/>
              </w:rPr>
              <w:t>Security/privacy</w:t>
            </w:r>
          </w:p>
        </w:tc>
        <w:tc>
          <w:tcPr>
            <w:tcW w:type="dxa" w:w="3600"/>
            <w:vAlign w:val="center"/>
            <w:tcMar>
              <w:top w:w="80" w:type="dxa"/>
              <w:start w:w="120" w:type="dxa"/>
              <w:bottom w:w="80" w:type="dxa"/>
              <w:end w:w="120" w:type="dxa"/>
            </w:tcMar>
          </w:tcPr>
          <w:p>
            <w:pPr>
              <w:spacing w:before="0" w:after="20" w:line="252" w:lineRule="auto"/>
              <w:jc w:val="left"/>
            </w:pPr>
            <w:r>
              <w:rPr>
                <w:color w:val="1D2733"/>
                <w:sz w:val="16"/>
              </w:rPr>
              <w:t>Inventory, MFA/access, baseline, incident and backup/restore</w:t>
            </w:r>
          </w:p>
        </w:tc>
        <w:tc>
          <w:tcPr>
            <w:tcW w:type="dxa" w:w="3610"/>
            <w:vAlign w:val="center"/>
            <w:tcMar>
              <w:top w:w="80" w:type="dxa"/>
              <w:start w:w="120" w:type="dxa"/>
              <w:bottom w:w="80" w:type="dxa"/>
              <w:end w:w="120" w:type="dxa"/>
            </w:tcMar>
          </w:tcPr>
          <w:p>
            <w:pPr>
              <w:spacing w:before="0" w:after="20" w:line="252" w:lineRule="auto"/>
              <w:jc w:val="left"/>
            </w:pPr>
            <w:r>
              <w:rPr>
                <w:color w:val="1D2733"/>
                <w:sz w:val="16"/>
              </w:rPr>
              <w:t>Control testing, vendor/DPIA programme and independent review by risk</w:t>
            </w:r>
          </w:p>
        </w:tc>
      </w:tr>
      <w:tr>
        <w:trPr>
          <w:cantSplit/>
        </w:trPr>
        <w:tc>
          <w:tcPr>
            <w:tcW w:type="dxa" w:w="2150"/>
            <w:vAlign w:val="center"/>
            <w:shd w:fill="FAFBFC"/>
            <w:tcMar>
              <w:top w:w="80" w:type="dxa"/>
              <w:start w:w="120" w:type="dxa"/>
              <w:bottom w:w="80" w:type="dxa"/>
              <w:end w:w="120" w:type="dxa"/>
            </w:tcMar>
          </w:tcPr>
          <w:p>
            <w:pPr>
              <w:spacing w:before="0" w:after="20" w:line="252" w:lineRule="auto"/>
              <w:jc w:val="left"/>
            </w:pPr>
            <w:r>
              <w:rPr>
                <w:color w:val="1D2733"/>
                <w:sz w:val="16"/>
              </w:rPr>
              <w:t>Commercial/service</w:t>
            </w:r>
          </w:p>
        </w:tc>
        <w:tc>
          <w:tcPr>
            <w:tcW w:type="dxa" w:w="3600"/>
            <w:vAlign w:val="center"/>
            <w:shd w:fill="FAFBFC"/>
            <w:tcMar>
              <w:top w:w="80" w:type="dxa"/>
              <w:start w:w="120" w:type="dxa"/>
              <w:bottom w:w="80" w:type="dxa"/>
              <w:end w:w="120" w:type="dxa"/>
            </w:tcMar>
          </w:tcPr>
          <w:p>
            <w:pPr>
              <w:spacing w:before="0" w:after="20" w:line="252" w:lineRule="auto"/>
              <w:jc w:val="left"/>
            </w:pPr>
            <w:r>
              <w:rPr>
                <w:color w:val="1D2733"/>
                <w:sz w:val="16"/>
              </w:rPr>
              <w:t>ICP, offer, CRM pipeline, onboarding and support model</w:t>
            </w:r>
          </w:p>
        </w:tc>
        <w:tc>
          <w:tcPr>
            <w:tcW w:type="dxa" w:w="3610"/>
            <w:vAlign w:val="center"/>
            <w:shd w:fill="FAFBFC"/>
            <w:tcMar>
              <w:top w:w="80" w:type="dxa"/>
              <w:start w:w="120" w:type="dxa"/>
              <w:bottom w:w="80" w:type="dxa"/>
              <w:end w:w="120" w:type="dxa"/>
            </w:tcMar>
          </w:tcPr>
          <w:p>
            <w:pPr>
              <w:spacing w:before="0" w:after="20" w:line="252" w:lineRule="auto"/>
              <w:jc w:val="left"/>
            </w:pPr>
            <w:r>
              <w:rPr>
                <w:color w:val="1D2733"/>
                <w:sz w:val="16"/>
              </w:rPr>
              <w:t>Repeatable sales-to-renewal flow and unit economics</w:t>
            </w:r>
          </w:p>
        </w:tc>
      </w:tr>
      <w:tr>
        <w:trPr>
          <w:cantSplit/>
        </w:trPr>
        <w:tc>
          <w:tcPr>
            <w:tcW w:type="dxa" w:w="2150"/>
            <w:vAlign w:val="center"/>
            <w:tcMar>
              <w:top w:w="80" w:type="dxa"/>
              <w:start w:w="120" w:type="dxa"/>
              <w:bottom w:w="80" w:type="dxa"/>
              <w:end w:w="120" w:type="dxa"/>
            </w:tcMar>
          </w:tcPr>
          <w:p>
            <w:pPr>
              <w:spacing w:before="0" w:after="20" w:line="252" w:lineRule="auto"/>
              <w:jc w:val="left"/>
            </w:pPr>
            <w:r>
              <w:rPr>
                <w:color w:val="1D2733"/>
                <w:sz w:val="16"/>
              </w:rPr>
              <w:t>Academy/people</w:t>
            </w:r>
          </w:p>
        </w:tc>
        <w:tc>
          <w:tcPr>
            <w:tcW w:type="dxa" w:w="3600"/>
            <w:vAlign w:val="center"/>
            <w:tcMar>
              <w:top w:w="80" w:type="dxa"/>
              <w:start w:w="120" w:type="dxa"/>
              <w:bottom w:w="80" w:type="dxa"/>
              <w:end w:w="120" w:type="dxa"/>
            </w:tcMar>
          </w:tcPr>
          <w:p>
            <w:pPr>
              <w:spacing w:before="0" w:after="20" w:line="252" w:lineRule="auto"/>
              <w:jc w:val="left"/>
            </w:pPr>
            <w:r>
              <w:rPr>
                <w:color w:val="1D2733"/>
                <w:sz w:val="16"/>
              </w:rPr>
              <w:t>Programme architecture and workforce plan</w:t>
            </w:r>
          </w:p>
        </w:tc>
        <w:tc>
          <w:tcPr>
            <w:tcW w:type="dxa" w:w="3610"/>
            <w:vAlign w:val="center"/>
            <w:tcMar>
              <w:top w:w="80" w:type="dxa"/>
              <w:start w:w="120" w:type="dxa"/>
              <w:bottom w:w="80" w:type="dxa"/>
              <w:end w:w="120" w:type="dxa"/>
            </w:tcMar>
          </w:tcPr>
          <w:p>
            <w:pPr>
              <w:spacing w:before="0" w:after="20" w:line="252" w:lineRule="auto"/>
              <w:jc w:val="left"/>
            </w:pPr>
            <w:r>
              <w:rPr>
                <w:color w:val="1D2733"/>
                <w:sz w:val="16"/>
              </w:rPr>
              <w:t>Delivered cohorts, applied skills/outcomes and internal talent pathway</w:t>
            </w:r>
          </w:p>
        </w:tc>
      </w:tr>
      <w:tr>
        <w:trPr>
          <w:cantSplit/>
        </w:trPr>
        <w:tc>
          <w:tcPr>
            <w:tcW w:type="dxa" w:w="2150"/>
            <w:vAlign w:val="center"/>
            <w:shd w:fill="FAFBFC"/>
            <w:tcMar>
              <w:top w:w="80" w:type="dxa"/>
              <w:start w:w="120" w:type="dxa"/>
              <w:bottom w:w="80" w:type="dxa"/>
              <w:end w:w="120" w:type="dxa"/>
            </w:tcMar>
          </w:tcPr>
          <w:p>
            <w:pPr>
              <w:spacing w:before="0" w:after="20" w:line="252" w:lineRule="auto"/>
              <w:jc w:val="left"/>
            </w:pPr>
            <w:r>
              <w:rPr>
                <w:color w:val="1D2733"/>
                <w:sz w:val="16"/>
              </w:rPr>
              <w:t>Infrastructure</w:t>
            </w:r>
          </w:p>
        </w:tc>
        <w:tc>
          <w:tcPr>
            <w:tcW w:type="dxa" w:w="3600"/>
            <w:vAlign w:val="center"/>
            <w:shd w:fill="FAFBFC"/>
            <w:tcMar>
              <w:top w:w="80" w:type="dxa"/>
              <w:start w:w="120" w:type="dxa"/>
              <w:bottom w:w="80" w:type="dxa"/>
              <w:end w:w="120" w:type="dxa"/>
            </w:tcMar>
          </w:tcPr>
          <w:p>
            <w:pPr>
              <w:spacing w:before="0" w:after="20" w:line="252" w:lineRule="auto"/>
              <w:jc w:val="left"/>
            </w:pPr>
            <w:r>
              <w:rPr>
                <w:color w:val="1D2733"/>
                <w:sz w:val="16"/>
              </w:rPr>
              <w:t>Separated environments, CI release and migration plan</w:t>
            </w:r>
          </w:p>
        </w:tc>
        <w:tc>
          <w:tcPr>
            <w:tcW w:type="dxa" w:w="3610"/>
            <w:vAlign w:val="center"/>
            <w:shd w:fill="FAFBFC"/>
            <w:tcMar>
              <w:top w:w="80" w:type="dxa"/>
              <w:start w:w="120" w:type="dxa"/>
              <w:bottom w:w="80" w:type="dxa"/>
              <w:end w:w="120" w:type="dxa"/>
            </w:tcMar>
          </w:tcPr>
          <w:p>
            <w:pPr>
              <w:spacing w:before="0" w:after="20" w:line="252" w:lineRule="auto"/>
              <w:jc w:val="left"/>
            </w:pPr>
            <w:r>
              <w:rPr>
                <w:color w:val="1D2733"/>
                <w:sz w:val="16"/>
              </w:rPr>
              <w:t>VPS/cloud decision from measured triggers; tested DR</w:t>
            </w:r>
          </w:p>
        </w:tc>
      </w:tr>
    </w:tbl>
    <w:p>
      <w:pPr>
        <w:pStyle w:val="Heading2"/>
      </w:pPr>
      <w:r>
        <w:t>Milestone acceptance</w:t>
      </w:r>
    </w:p>
    <w:p>
      <w:pPr>
        <w:pStyle w:val="ListBullet"/>
        <w:keepLines/>
      </w:pPr>
      <w:r>
        <w:t>Accountable owner confirms scope and evidence; independent reviewer confirms high-risk controls.</w:t>
      </w:r>
    </w:p>
    <w:p>
      <w:pPr>
        <w:pStyle w:val="ListBullet"/>
        <w:keepLines/>
      </w:pPr>
      <w:r>
        <w:t>Actual cost, time, outcome, defects, incidents, residual risk and operational load are recorded.</w:t>
      </w:r>
    </w:p>
    <w:p>
      <w:pPr>
        <w:pStyle w:val="ListBullet"/>
        <w:keepLines/>
      </w:pPr>
      <w:r>
        <w:t>Documentation, training, support, monitoring, backup/recovery and ownership are complete.</w:t>
      </w:r>
    </w:p>
    <w:p>
      <w:pPr>
        <w:pStyle w:val="ListBullet"/>
        <w:keepLines/>
      </w:pPr>
      <w:r>
        <w:t>Portfolio committee decides next funding, constraints, corrective action, pause or closure.</w:t>
      </w:r>
    </w:p>
    <w:p>
      <w:bookmarkStart w:id="36" w:name="sec36"/>
      <w:pPr>
        <w:pStyle w:val="Heading1"/>
        <w:keepNext/>
        <w:pageBreakBefore/>
      </w:pPr>
      <w:r>
        <w:t>SECTION 36 | Short-, Medium-, and Long-Term Growth Plans</w:t>
      </w:r>
      <w:bookmarkEnd w:id="36"/>
    </w:p>
    <w:p>
      <w:pPr>
        <w:pStyle w:val="LeadCallout"/>
        <w:shd w:fill="F4F6F9"/>
        <w:pBdr>
          <w:left w:val="single" w:sz="18" w:space="8" w:color="C99A2E"/>
        </w:pBdr>
      </w:pPr>
      <w:r>
        <w:rPr>
          <w:b/>
          <w:color w:val="102A43"/>
        </w:rPr>
        <w:t xml:space="preserve">Long-term direction: </w:t>
      </w:r>
      <w:r>
        <w:t>Rihuum's path to leadership is cumulative: first become controlled and trustworthy, then repeatable and commercially proven, then scalable, regional and platform-led. Reputation follows sustained evidence.</w:t>
      </w:r>
    </w:p>
    <w:p>
      <w:pPr>
        <w:pStyle w:val="Heading2"/>
      </w:pPr>
      <w:r>
        <w:t>Short term - foundation and proof (0-12 months)</w:t>
      </w:r>
    </w:p>
    <w:p>
      <w:pPr>
        <w:pStyle w:val="ListBullet"/>
        <w:keepLines/>
      </w:pPr>
      <w:r>
        <w:t>Complete corporate, legal, financial, domain, brand, portfolio and technology control foundations.</w:t>
      </w:r>
    </w:p>
    <w:p>
      <w:pPr>
        <w:pStyle w:val="ListBullet"/>
        <w:keepLines/>
      </w:pPr>
      <w:r>
        <w:t>Launch the three-domain ecosystem with strong original content and unified CRM/service journeys.</w:t>
      </w:r>
    </w:p>
    <w:p>
      <w:pPr>
        <w:pStyle w:val="ListBullet"/>
        <w:keepLines/>
      </w:pPr>
      <w:r>
        <w:t>Build RME Core and one commercially narrow Rihuum OS module; use them internally, then deliver paid lighthouse pilots.</w:t>
      </w:r>
    </w:p>
    <w:p>
      <w:pPr>
        <w:pStyle w:val="ListBullet"/>
        <w:keepLines/>
      </w:pPr>
      <w:r>
        <w:t>Deploy RIA and low-risk AI assistants; establish agent authority, evaluation, security and audit controls.</w:t>
      </w:r>
    </w:p>
    <w:p>
      <w:pPr>
        <w:pStyle w:val="ListBullet"/>
        <w:keepLines/>
      </w:pPr>
      <w:r>
        <w:t>Operationalise the Academy, implementation, support, backup/DR, QA and release systems.</w:t>
      </w:r>
    </w:p>
    <w:p>
      <w:pPr>
        <w:pStyle w:val="ListBullet"/>
        <w:keepLines/>
      </w:pPr>
      <w:r>
        <w:t>Establish baseline KPIs and approve evidence-based budget, prices and targets.</w:t>
      </w:r>
    </w:p>
    <w:p>
      <w:pPr>
        <w:pStyle w:val="Heading2"/>
      </w:pPr>
      <w:r>
        <w:t>Medium term - repeatability and regional scale (1-3 years)</w:t>
      </w:r>
    </w:p>
    <w:p>
      <w:pPr>
        <w:pStyle w:val="ListBullet"/>
        <w:keepLines/>
      </w:pPr>
      <w:r>
        <w:t>Grow recurring subscriptions, licences and managed services while protecting implementation and support quality.</w:t>
      </w:r>
    </w:p>
    <w:p>
      <w:pPr>
        <w:pStyle w:val="ListBullet"/>
        <w:keepLines/>
      </w:pPr>
      <w:r>
        <w:t>Add validated Rihuum OS sector modules and advanced analytics/Agentic workflows behind stable RME and RIA contracts.</w:t>
      </w:r>
    </w:p>
    <w:p>
      <w:pPr>
        <w:pStyle w:val="ListBullet"/>
        <w:keepLines/>
      </w:pPr>
      <w:r>
        <w:t>Move appropriate workloads to VPS/cloud/hybrid infrastructure with stronger automation, isolation and observability.</w:t>
      </w:r>
    </w:p>
    <w:p>
      <w:pPr>
        <w:pStyle w:val="ListBullet"/>
        <w:keepLines/>
      </w:pPr>
      <w:r>
        <w:t>Build certified partner paths for delivery, hardware, training and market access; enter selected West African markets.</w:t>
      </w:r>
    </w:p>
    <w:p>
      <w:pPr>
        <w:pStyle w:val="ListBullet"/>
        <w:keepLines/>
      </w:pPr>
      <w:r>
        <w:t>Develop independent assurance and appropriate ISO-aligned management systems; seek certification only where justified.</w:t>
      </w:r>
    </w:p>
    <w:p>
      <w:pPr>
        <w:pStyle w:val="ListBullet"/>
        <w:keepLines/>
      </w:pPr>
      <w:r>
        <w:t>Create a strong internal leadership bench and Academy-to-employment/apprenticeship pipeline.</w:t>
      </w:r>
    </w:p>
    <w:p>
      <w:pPr>
        <w:pStyle w:val="Heading2"/>
      </w:pPr>
      <w:r>
        <w:t>Long term - African platform and innovation enterprise (3-10+ years)</w:t>
      </w:r>
    </w:p>
    <w:p>
      <w:pPr>
        <w:pStyle w:val="ListBullet"/>
        <w:keepLines/>
      </w:pPr>
      <w:r>
        <w:t>Operate mature product lines and a governed module/partner ecosystem powered by RME and experienced through Rihuum OS.</w:t>
      </w:r>
    </w:p>
    <w:p>
      <w:pPr>
        <w:pStyle w:val="ListBullet"/>
        <w:keepLines/>
      </w:pPr>
      <w:r>
        <w:t>Serve enterprise and public-sector clients through SaaS, private cloud, hybrid and on-premise patterns across selected regions.</w:t>
      </w:r>
    </w:p>
    <w:p>
      <w:pPr>
        <w:pStyle w:val="ListBullet"/>
        <w:keepLines/>
      </w:pPr>
      <w:r>
        <w:t>Commercialise defensible African workflow, knowledge and analytics assets with lawful rights and responsible AI governance.</w:t>
      </w:r>
    </w:p>
    <w:p>
      <w:pPr>
        <w:pStyle w:val="ListBullet"/>
        <w:keepLines/>
      </w:pPr>
      <w:r>
        <w:t>Expand the Technology and Digital Hub into a recognised workforce-development and applied research network.</w:t>
      </w:r>
    </w:p>
    <w:p>
      <w:pPr>
        <w:pStyle w:val="ListBullet"/>
        <w:keepLines/>
      </w:pPr>
      <w:r>
        <w:t>Develop or partner on smart-city, edge, digital-twin, robotics and future infrastructure solutions only where measurable value and safety justify them.</w:t>
      </w:r>
    </w:p>
    <w:p>
      <w:pPr>
        <w:pStyle w:val="ListBullet"/>
        <w:keepLines/>
      </w:pPr>
      <w:r>
        <w:t>Use the venture builder to incubate, license, partner, spin out or acquire products under disciplined governance and capital allocation.</w:t>
      </w:r>
    </w:p>
    <w:p>
      <w:pPr>
        <w:pStyle w:val="Heading2"/>
      </w:pPr>
      <w:r>
        <w:t>Non-negotiable growth guardrails</w:t>
      </w:r>
    </w:p>
    <w:p>
      <w:pPr>
        <w:pStyle w:val="Caption"/>
      </w:pPr>
      <w:r>
        <w:t>Table 53. Guardrails that protect the Rihuum future</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500"/>
        <w:gridCol w:w="6860"/>
      </w:tblGrid>
      <w:tr>
        <w:trPr>
          <w:tblHeader w:val="true"/>
          <w:cantSplit/>
        </w:trPr>
        <w:tc>
          <w:tcPr>
            <w:tcW w:type="dxa" w:w="2500"/>
            <w:vAlign w:val="center"/>
            <w:shd w:fill="F2F4F7"/>
            <w:tcMar>
              <w:top w:w="80" w:type="dxa"/>
              <w:start w:w="120" w:type="dxa"/>
              <w:bottom w:w="80" w:type="dxa"/>
              <w:end w:w="120" w:type="dxa"/>
            </w:tcMar>
          </w:tcPr>
          <w:p>
            <w:pPr>
              <w:spacing w:before="0" w:after="0"/>
              <w:jc w:val="center"/>
            </w:pPr>
            <w:r>
              <w:rPr>
                <w:b/>
                <w:color w:val="102A43"/>
                <w:sz w:val="18"/>
              </w:rPr>
              <w:t>Guardrail</w:t>
            </w:r>
          </w:p>
        </w:tc>
        <w:tc>
          <w:tcPr>
            <w:tcW w:type="dxa" w:w="6860"/>
            <w:vAlign w:val="center"/>
            <w:shd w:fill="F2F4F7"/>
            <w:tcMar>
              <w:top w:w="80" w:type="dxa"/>
              <w:start w:w="120" w:type="dxa"/>
              <w:bottom w:w="80" w:type="dxa"/>
              <w:end w:w="120" w:type="dxa"/>
            </w:tcMar>
          </w:tcPr>
          <w:p>
            <w:pPr>
              <w:spacing w:before="0" w:after="0"/>
              <w:jc w:val="center"/>
            </w:pPr>
            <w:r>
              <w:rPr>
                <w:b/>
                <w:color w:val="102A43"/>
                <w:sz w:val="18"/>
              </w:rPr>
              <w:t>Meaning</w:t>
            </w:r>
          </w:p>
        </w:tc>
      </w:tr>
      <w:tr>
        <w:trPr>
          <w:cantSplit/>
        </w:trPr>
        <w:tc>
          <w:tcPr>
            <w:tcW w:type="dxa" w:w="2500"/>
            <w:vAlign w:val="center"/>
            <w:tcMar>
              <w:top w:w="80" w:type="dxa"/>
              <w:start w:w="120" w:type="dxa"/>
              <w:bottom w:w="80" w:type="dxa"/>
              <w:end w:w="120" w:type="dxa"/>
            </w:tcMar>
          </w:tcPr>
          <w:p>
            <w:pPr>
              <w:spacing w:before="0" w:after="20" w:line="252" w:lineRule="auto"/>
              <w:jc w:val="left"/>
            </w:pPr>
            <w:r>
              <w:rPr>
                <w:color w:val="1D2733"/>
                <w:sz w:val="17"/>
              </w:rPr>
              <w:t>One trusted identity</w:t>
            </w:r>
          </w:p>
        </w:tc>
        <w:tc>
          <w:tcPr>
            <w:tcW w:type="dxa" w:w="6860"/>
            <w:vAlign w:val="center"/>
            <w:tcMar>
              <w:top w:w="80" w:type="dxa"/>
              <w:start w:w="120" w:type="dxa"/>
              <w:bottom w:w="80" w:type="dxa"/>
              <w:end w:w="120" w:type="dxa"/>
            </w:tcMar>
          </w:tcPr>
          <w:p>
            <w:pPr>
              <w:spacing w:before="0" w:after="20" w:line="252" w:lineRule="auto"/>
              <w:jc w:val="left"/>
            </w:pPr>
            <w:r>
              <w:rPr>
                <w:color w:val="1D2733"/>
                <w:sz w:val="17"/>
              </w:rPr>
              <w:t>Protect the official logo, legal identity, RC, domains and evidence-based claims across every unit.</w:t>
            </w:r>
          </w:p>
        </w:tc>
      </w:tr>
      <w:tr>
        <w:trPr>
          <w:cantSplit/>
        </w:trPr>
        <w:tc>
          <w:tcPr>
            <w:tcW w:type="dxa" w:w="2500"/>
            <w:vAlign w:val="center"/>
            <w:shd w:fill="FAFBFC"/>
            <w:tcMar>
              <w:top w:w="80" w:type="dxa"/>
              <w:start w:w="120" w:type="dxa"/>
              <w:bottom w:w="80" w:type="dxa"/>
              <w:end w:w="120" w:type="dxa"/>
            </w:tcMar>
          </w:tcPr>
          <w:p>
            <w:pPr>
              <w:spacing w:before="0" w:after="20" w:line="252" w:lineRule="auto"/>
              <w:jc w:val="left"/>
            </w:pPr>
            <w:r>
              <w:rPr>
                <w:color w:val="1D2733"/>
                <w:sz w:val="17"/>
              </w:rPr>
              <w:t>One platform direction</w:t>
            </w:r>
          </w:p>
        </w:tc>
        <w:tc>
          <w:tcPr>
            <w:tcW w:type="dxa" w:w="6860"/>
            <w:vAlign w:val="center"/>
            <w:shd w:fill="FAFBFC"/>
            <w:tcMar>
              <w:top w:w="80" w:type="dxa"/>
              <w:start w:w="120" w:type="dxa"/>
              <w:bottom w:w="80" w:type="dxa"/>
              <w:end w:w="120" w:type="dxa"/>
            </w:tcMar>
          </w:tcPr>
          <w:p>
            <w:pPr>
              <w:spacing w:before="0" w:after="20" w:line="252" w:lineRule="auto"/>
              <w:jc w:val="left"/>
            </w:pPr>
            <w:r>
              <w:rPr>
                <w:color w:val="1D2733"/>
                <w:sz w:val="17"/>
              </w:rPr>
              <w:t>Reuse RME and RIA; no isolated product stack without an approved exception, compatibility contract and lifecycle plan.</w:t>
            </w:r>
          </w:p>
        </w:tc>
      </w:tr>
      <w:tr>
        <w:trPr>
          <w:cantSplit/>
        </w:trPr>
        <w:tc>
          <w:tcPr>
            <w:tcW w:type="dxa" w:w="2500"/>
            <w:vAlign w:val="center"/>
            <w:tcMar>
              <w:top w:w="80" w:type="dxa"/>
              <w:start w:w="120" w:type="dxa"/>
              <w:bottom w:w="80" w:type="dxa"/>
              <w:end w:w="120" w:type="dxa"/>
            </w:tcMar>
          </w:tcPr>
          <w:p>
            <w:pPr>
              <w:spacing w:before="0" w:after="20" w:line="252" w:lineRule="auto"/>
              <w:jc w:val="left"/>
            </w:pPr>
            <w:r>
              <w:rPr>
                <w:color w:val="1D2733"/>
                <w:sz w:val="17"/>
              </w:rPr>
              <w:t>Security and privacy baseline</w:t>
            </w:r>
          </w:p>
        </w:tc>
        <w:tc>
          <w:tcPr>
            <w:tcW w:type="dxa" w:w="6860"/>
            <w:vAlign w:val="center"/>
            <w:tcMar>
              <w:top w:w="80" w:type="dxa"/>
              <w:start w:w="120" w:type="dxa"/>
              <w:bottom w:w="80" w:type="dxa"/>
              <w:end w:w="120" w:type="dxa"/>
            </w:tcMar>
          </w:tcPr>
          <w:p>
            <w:pPr>
              <w:spacing w:before="0" w:after="20" w:line="252" w:lineRule="auto"/>
              <w:jc w:val="left"/>
            </w:pPr>
            <w:r>
              <w:rPr>
                <w:color w:val="1D2733"/>
                <w:sz w:val="17"/>
              </w:rPr>
              <w:t>Growth never depends on silent acceptance of uncontrolled customer, data, AI or infrastructure risk.</w:t>
            </w:r>
          </w:p>
        </w:tc>
      </w:tr>
      <w:tr>
        <w:trPr>
          <w:cantSplit/>
        </w:trPr>
        <w:tc>
          <w:tcPr>
            <w:tcW w:type="dxa" w:w="2500"/>
            <w:vAlign w:val="center"/>
            <w:shd w:fill="FAFBFC"/>
            <w:tcMar>
              <w:top w:w="80" w:type="dxa"/>
              <w:start w:w="120" w:type="dxa"/>
              <w:bottom w:w="80" w:type="dxa"/>
              <w:end w:w="120" w:type="dxa"/>
            </w:tcMar>
          </w:tcPr>
          <w:p>
            <w:pPr>
              <w:spacing w:before="0" w:after="20" w:line="252" w:lineRule="auto"/>
              <w:jc w:val="left"/>
            </w:pPr>
            <w:r>
              <w:rPr>
                <w:color w:val="1D2733"/>
                <w:sz w:val="17"/>
              </w:rPr>
              <w:t>Customer outcome before feature volume</w:t>
            </w:r>
          </w:p>
        </w:tc>
        <w:tc>
          <w:tcPr>
            <w:tcW w:type="dxa" w:w="6860"/>
            <w:vAlign w:val="center"/>
            <w:shd w:fill="FAFBFC"/>
            <w:tcMar>
              <w:top w:w="80" w:type="dxa"/>
              <w:start w:w="120" w:type="dxa"/>
              <w:bottom w:w="80" w:type="dxa"/>
              <w:end w:w="120" w:type="dxa"/>
            </w:tcMar>
          </w:tcPr>
          <w:p>
            <w:pPr>
              <w:spacing w:before="0" w:after="20" w:line="252" w:lineRule="auto"/>
              <w:jc w:val="left"/>
            </w:pPr>
            <w:r>
              <w:rPr>
                <w:color w:val="1D2733"/>
                <w:sz w:val="17"/>
              </w:rPr>
              <w:t>Invest when use, value, retention and viable economics are visible.</w:t>
            </w:r>
          </w:p>
        </w:tc>
      </w:tr>
      <w:tr>
        <w:trPr>
          <w:cantSplit/>
        </w:trPr>
        <w:tc>
          <w:tcPr>
            <w:tcW w:type="dxa" w:w="2500"/>
            <w:vAlign w:val="center"/>
            <w:tcMar>
              <w:top w:w="80" w:type="dxa"/>
              <w:start w:w="120" w:type="dxa"/>
              <w:bottom w:w="80" w:type="dxa"/>
              <w:end w:w="120" w:type="dxa"/>
            </w:tcMar>
          </w:tcPr>
          <w:p>
            <w:pPr>
              <w:spacing w:before="0" w:after="20" w:line="252" w:lineRule="auto"/>
              <w:jc w:val="left"/>
            </w:pPr>
            <w:r>
              <w:rPr>
                <w:color w:val="1D2733"/>
                <w:sz w:val="17"/>
              </w:rPr>
              <w:t>Portable and recoverable systems</w:t>
            </w:r>
          </w:p>
        </w:tc>
        <w:tc>
          <w:tcPr>
            <w:tcW w:type="dxa" w:w="6860"/>
            <w:vAlign w:val="center"/>
            <w:tcMar>
              <w:top w:w="80" w:type="dxa"/>
              <w:start w:w="120" w:type="dxa"/>
              <w:bottom w:w="80" w:type="dxa"/>
              <w:end w:w="120" w:type="dxa"/>
            </w:tcMar>
          </w:tcPr>
          <w:p>
            <w:pPr>
              <w:spacing w:before="0" w:after="20" w:line="252" w:lineRule="auto"/>
              <w:jc w:val="left"/>
            </w:pPr>
            <w:r>
              <w:rPr>
                <w:color w:val="1D2733"/>
                <w:sz w:val="17"/>
              </w:rPr>
              <w:t>Every product remains versioned, documented, migration-ready, backup-enabled and rollback/recovery capable.</w:t>
            </w:r>
          </w:p>
        </w:tc>
      </w:tr>
      <w:tr>
        <w:trPr>
          <w:cantSplit/>
        </w:trPr>
        <w:tc>
          <w:tcPr>
            <w:tcW w:type="dxa" w:w="2500"/>
            <w:vAlign w:val="center"/>
            <w:shd w:fill="FAFBFC"/>
            <w:tcMar>
              <w:top w:w="80" w:type="dxa"/>
              <w:start w:w="120" w:type="dxa"/>
              <w:bottom w:w="80" w:type="dxa"/>
              <w:end w:w="120" w:type="dxa"/>
            </w:tcMar>
          </w:tcPr>
          <w:p>
            <w:pPr>
              <w:spacing w:before="0" w:after="20" w:line="252" w:lineRule="auto"/>
              <w:jc w:val="left"/>
            </w:pPr>
            <w:r>
              <w:rPr>
                <w:color w:val="1D2733"/>
                <w:sz w:val="17"/>
              </w:rPr>
              <w:t>Legal before market promise</w:t>
            </w:r>
          </w:p>
        </w:tc>
        <w:tc>
          <w:tcPr>
            <w:tcW w:type="dxa" w:w="6860"/>
            <w:vAlign w:val="center"/>
            <w:shd w:fill="FAFBFC"/>
            <w:tcMar>
              <w:top w:w="80" w:type="dxa"/>
              <w:start w:w="120" w:type="dxa"/>
              <w:bottom w:w="80" w:type="dxa"/>
              <w:end w:w="120" w:type="dxa"/>
            </w:tcMar>
          </w:tcPr>
          <w:p>
            <w:pPr>
              <w:spacing w:before="0" w:after="20" w:line="252" w:lineRule="auto"/>
              <w:jc w:val="left"/>
            </w:pPr>
            <w:r>
              <w:rPr>
                <w:color w:val="1D2733"/>
                <w:sz w:val="17"/>
              </w:rPr>
              <w:t>Verify licences, contracts, IP, tax, data and sector obligations before launch or country entry.</w:t>
            </w:r>
          </w:p>
        </w:tc>
      </w:tr>
      <w:tr>
        <w:trPr>
          <w:cantSplit/>
        </w:trPr>
        <w:tc>
          <w:tcPr>
            <w:tcW w:type="dxa" w:w="2500"/>
            <w:vAlign w:val="center"/>
            <w:tcMar>
              <w:top w:w="80" w:type="dxa"/>
              <w:start w:w="120" w:type="dxa"/>
              <w:bottom w:w="80" w:type="dxa"/>
              <w:end w:w="120" w:type="dxa"/>
            </w:tcMar>
          </w:tcPr>
          <w:p>
            <w:pPr>
              <w:spacing w:before="0" w:after="20" w:line="252" w:lineRule="auto"/>
              <w:jc w:val="left"/>
            </w:pPr>
            <w:r>
              <w:rPr>
                <w:color w:val="1D2733"/>
                <w:sz w:val="17"/>
              </w:rPr>
              <w:t>People and service capacity</w:t>
            </w:r>
          </w:p>
        </w:tc>
        <w:tc>
          <w:tcPr>
            <w:tcW w:type="dxa" w:w="6860"/>
            <w:vAlign w:val="center"/>
            <w:tcMar>
              <w:top w:w="80" w:type="dxa"/>
              <w:start w:w="120" w:type="dxa"/>
              <w:bottom w:w="80" w:type="dxa"/>
              <w:end w:w="120" w:type="dxa"/>
            </w:tcMar>
          </w:tcPr>
          <w:p>
            <w:pPr>
              <w:spacing w:before="0" w:after="20" w:line="252" w:lineRule="auto"/>
              <w:jc w:val="left"/>
            </w:pPr>
            <w:r>
              <w:rPr>
                <w:color w:val="1D2733"/>
                <w:sz w:val="17"/>
              </w:rPr>
              <w:t>Do not sell availability, support, installation or transformation capacity Rihuum cannot sustain.</w:t>
            </w:r>
          </w:p>
        </w:tc>
      </w:tr>
      <w:tr>
        <w:trPr>
          <w:cantSplit/>
        </w:trPr>
        <w:tc>
          <w:tcPr>
            <w:tcW w:type="dxa" w:w="2500"/>
            <w:vAlign w:val="center"/>
            <w:shd w:fill="FAFBFC"/>
            <w:tcMar>
              <w:top w:w="80" w:type="dxa"/>
              <w:start w:w="120" w:type="dxa"/>
              <w:bottom w:w="80" w:type="dxa"/>
              <w:end w:w="120" w:type="dxa"/>
            </w:tcMar>
          </w:tcPr>
          <w:p>
            <w:pPr>
              <w:spacing w:before="0" w:after="20" w:line="252" w:lineRule="auto"/>
              <w:jc w:val="left"/>
            </w:pPr>
            <w:r>
              <w:rPr>
                <w:color w:val="1D2733"/>
                <w:sz w:val="17"/>
              </w:rPr>
              <w:t>Continuous learning</w:t>
            </w:r>
          </w:p>
        </w:tc>
        <w:tc>
          <w:tcPr>
            <w:tcW w:type="dxa" w:w="6860"/>
            <w:vAlign w:val="center"/>
            <w:shd w:fill="FAFBFC"/>
            <w:tcMar>
              <w:top w:w="80" w:type="dxa"/>
              <w:start w:w="120" w:type="dxa"/>
              <w:bottom w:w="80" w:type="dxa"/>
              <w:end w:w="120" w:type="dxa"/>
            </w:tcMar>
          </w:tcPr>
          <w:p>
            <w:pPr>
              <w:spacing w:before="0" w:after="20" w:line="252" w:lineRule="auto"/>
              <w:jc w:val="left"/>
            </w:pPr>
            <w:r>
              <w:rPr>
                <w:color w:val="1D2733"/>
                <w:sz w:val="17"/>
              </w:rPr>
              <w:t>Measure, review, publish lessons internally and update this blueprint as facts change.</w:t>
            </w:r>
          </w:p>
        </w:tc>
      </w:tr>
    </w:tbl>
    <w:p>
      <w:pPr>
        <w:pStyle w:val="Heading2"/>
      </w:pPr>
      <w:r>
        <w:t>Board closing statement</w:t>
      </w:r>
    </w:p>
    <w:p>
      <w:r>
        <w:t>This blueprint gives Rihuum a coherent foundation for decades of development without pretending that every future product, technology or market can be predicted. Its enduring value lies in the operating discipline: verified identity, clear ownership, modular architecture, responsible intelligence, secure delivery, commercial evidence, controlled change, recovery, documented learning and deliberate expansion. If these disciplines are maintained, Rihuum can evolve continuously without rebuilding the company or its core platforms each time technology and markets change.</w:t>
      </w:r>
    </w:p>
    <w:p>
      <w:r>
        <w:br w:type="page"/>
      </w:r>
    </w:p>
    <w:p>
      <w:pPr>
        <w:pStyle w:val="Heading1"/>
      </w:pPr>
      <w:r>
        <w:t>SECTION 37 | RAHIS Hospitality Platform and Digital Ecosystem Expansion</w:t>
      </w:r>
    </w:p>
    <w:p>
      <w:pPr>
        <w:pStyle w:val="LeadCallout"/>
      </w:pPr>
      <w:r>
        <w:t>Board direction for the Sandralia pilot and the reusable hospitality product family</w:t>
      </w:r>
    </w:p>
    <w:p>
      <w:r>
        <w:rPr>
          <w:b/>
        </w:rPr>
        <w:t>Rihuum will develop the Rihuum AI Hospitality Intelligence Suite (RAHIS) as a multi-tenant product family within the Rihuum Intelligent Software Ecosystem. Sandralia Hotel by White Stones is the controlled pilot property. RAHIS v8.3.0 is the consolidated integration candidate comprising the v8.1 operating core, v8.2 Paystack test/sandbox adapter and v8.2 Sentinel security overlay. Sentinel remains non-authoritative for reservations, rates, folios, payments, payroll, biometrics, doors, CCTV and all hotel systems of record.</w:t>
      </w:r>
    </w:p>
    <w:tbl>
      <w:tblPr>
        <w:tblW w:type="dxa" w:w="9360"/>
        <w:jc w:val="left"/>
        <w:tblLayout w:type="fixed"/>
        <w:tblLook w:firstColumn="1" w:firstRow="1" w:lastColumn="0" w:lastRow="0" w:noHBand="0" w:noVBand="1" w:val="04A0"/>
        <w:tblInd w:type="dxa" w:w="180"/>
      </w:tblPr>
      <w:tblGrid>
        <w:gridCol w:w="9360"/>
      </w:tblGrid>
      <w:tr>
        <w:trPr>
          <w:tblHeader w:val="true"/>
        </w:trPr>
        <w:tc>
          <w:tcPr>
            <w:tcW w:type="dxa" w:w="9360"/>
            <w:shd w:fill="F6F0E3"/>
            <w:tcMar>
              <w:top w:w="160" w:type="dxa"/>
              <w:start w:w="180" w:type="dxa"/>
              <w:bottom w:w="160" w:type="dxa"/>
              <w:end w:w="180" w:type="dxa"/>
            </w:tcMar>
          </w:tcPr>
          <w:p>
            <w:pPr>
              <w:spacing w:after="0"/>
            </w:pPr>
            <w:r>
              <w:rPr>
                <w:rFonts w:ascii="Aptos Display" w:hAnsi="Aptos Display"/>
                <w:b/>
                <w:color w:val="147D75"/>
                <w:sz w:val="18"/>
              </w:rPr>
              <w:t xml:space="preserve">TRUTHFUL PRODUCT BOUNDARY  </w:t>
            </w:r>
            <w:r>
              <w:rPr>
                <w:rFonts w:ascii="Aptos" w:hAnsi="Aptos"/>
                <w:color w:val="1B2733"/>
                <w:sz w:val="18"/>
              </w:rPr>
              <w:t>A menu item or attractive dashboard is not a live integration. OTA, payment, translation, advertising, Google and messaging publication remain adapter-pending until contracts, credentials, consent, security review, reconciliation and acceptance evidence are complete.</w:t>
            </w:r>
          </w:p>
        </w:tc>
      </w:tr>
    </w:tbl>
    <w:p>
      <w:pPr>
        <w:pStyle w:val="Heading2"/>
      </w:pPr>
      <w:r>
        <w:t>37.1 Strategic product decision</w:t>
      </w:r>
    </w:p>
    <w:tbl>
      <w:tblPr>
        <w:tblStyle w:val="TableGrid"/>
        <w:tblW w:type="dxa" w:w="9360"/>
        <w:jc w:val="left"/>
        <w:tblLayout w:type="fixed"/>
        <w:tblLook w:firstColumn="1" w:firstRow="1" w:lastColumn="0" w:lastRow="0" w:noHBand="0" w:noVBand="1" w:val="04A0"/>
        <w:tblInd w:type="dxa" w:w="110"/>
      </w:tblPr>
      <w:tblGrid>
        <w:gridCol w:w="1656"/>
        <w:gridCol w:w="4320"/>
        <w:gridCol w:w="3384"/>
      </w:tblGrid>
      <w:tr>
        <w:trPr>
          <w:tblHeader w:val="true"/>
        </w:trPr>
        <w:tc>
          <w:tcPr>
            <w:tcW w:type="dxa" w:w="1656"/>
            <w:vAlign w:val="center"/>
            <w:shd w:fill="10263B"/>
            <w:tcMar>
              <w:top w:w="90" w:type="dxa"/>
              <w:start w:w="110" w:type="dxa"/>
              <w:bottom w:w="90" w:type="dxa"/>
              <w:end w:w="110" w:type="dxa"/>
            </w:tcMar>
          </w:tcPr>
          <w:p>
            <w:r>
              <w:rPr>
                <w:rFonts w:ascii="Aptos" w:hAnsi="Aptos"/>
                <w:b/>
                <w:color w:val="FFFFFF"/>
                <w:sz w:val="17"/>
              </w:rPr>
              <w:t>Decision</w:t>
            </w:r>
          </w:p>
        </w:tc>
        <w:tc>
          <w:tcPr>
            <w:tcW w:type="dxa" w:w="4320"/>
            <w:vAlign w:val="center"/>
            <w:shd w:fill="10263B"/>
            <w:tcMar>
              <w:top w:w="90" w:type="dxa"/>
              <w:start w:w="110" w:type="dxa"/>
              <w:bottom w:w="90" w:type="dxa"/>
              <w:end w:w="110" w:type="dxa"/>
            </w:tcMar>
          </w:tcPr>
          <w:p>
            <w:r>
              <w:rPr>
                <w:rFonts w:ascii="Aptos" w:hAnsi="Aptos"/>
                <w:b/>
                <w:color w:val="FFFFFF"/>
                <w:sz w:val="17"/>
              </w:rPr>
              <w:t>Controlled direction</w:t>
            </w:r>
          </w:p>
        </w:tc>
        <w:tc>
          <w:tcPr>
            <w:tcW w:type="dxa" w:w="3384"/>
            <w:vAlign w:val="center"/>
            <w:shd w:fill="10263B"/>
            <w:tcMar>
              <w:top w:w="90" w:type="dxa"/>
              <w:start w:w="110" w:type="dxa"/>
              <w:bottom w:w="90" w:type="dxa"/>
              <w:end w:w="110" w:type="dxa"/>
            </w:tcMar>
          </w:tcPr>
          <w:p>
            <w:r>
              <w:rPr>
                <w:rFonts w:ascii="Aptos" w:hAnsi="Aptos"/>
                <w:b/>
                <w:color w:val="FFFFFF"/>
                <w:sz w:val="17"/>
              </w:rPr>
              <w:t>Required evidence</w:t>
            </w:r>
          </w:p>
        </w:tc>
      </w:tr>
      <w:tr>
        <w:tc>
          <w:tcPr>
            <w:tcW w:type="dxa" w:w="1656"/>
            <w:vAlign w:val="top"/>
            <w:tcMar>
              <w:top w:w="90" w:type="dxa"/>
              <w:start w:w="110" w:type="dxa"/>
              <w:bottom w:w="90" w:type="dxa"/>
              <w:end w:w="110" w:type="dxa"/>
            </w:tcMar>
          </w:tcPr>
          <w:p>
            <w:pPr>
              <w:spacing w:after="40"/>
            </w:pPr>
            <w:r>
              <w:rPr>
                <w:rFonts w:ascii="Aptos" w:hAnsi="Aptos"/>
                <w:color w:val="1B2733"/>
                <w:sz w:val="16"/>
              </w:rPr>
              <w:t>One hotel operating system</w:t>
            </w:r>
          </w:p>
        </w:tc>
        <w:tc>
          <w:tcPr>
            <w:tcW w:type="dxa" w:w="4320"/>
            <w:vAlign w:val="top"/>
            <w:tcMar>
              <w:top w:w="90" w:type="dxa"/>
              <w:start w:w="110" w:type="dxa"/>
              <w:bottom w:w="90" w:type="dxa"/>
              <w:end w:w="110" w:type="dxa"/>
            </w:tcMar>
          </w:tcPr>
          <w:p>
            <w:pPr>
              <w:spacing w:after="40"/>
            </w:pPr>
            <w:r>
              <w:rPr>
                <w:rFonts w:ascii="Aptos" w:hAnsi="Aptos"/>
                <w:color w:val="1B2733"/>
                <w:sz w:val="16"/>
              </w:rPr>
              <w:t>PMS, CRS, distribution, booking, guest journey, F&amp;B, finance, workforce, maintenance and collaboration share one governed kernel.</w:t>
            </w:r>
          </w:p>
        </w:tc>
        <w:tc>
          <w:tcPr>
            <w:tcW w:type="dxa" w:w="3384"/>
            <w:vAlign w:val="top"/>
            <w:tcMar>
              <w:top w:w="90" w:type="dxa"/>
              <w:start w:w="110" w:type="dxa"/>
              <w:bottom w:w="90" w:type="dxa"/>
              <w:end w:w="110" w:type="dxa"/>
            </w:tcMar>
          </w:tcPr>
          <w:p>
            <w:pPr>
              <w:spacing w:after="40"/>
            </w:pPr>
            <w:r>
              <w:rPr>
                <w:rFonts w:ascii="Aptos" w:hAnsi="Aptos"/>
                <w:color w:val="1B2733"/>
                <w:sz w:val="16"/>
              </w:rPr>
              <w:t>Cross-module workflow tests, ownership map and reconciled records.</w:t>
            </w:r>
          </w:p>
        </w:tc>
      </w:tr>
      <w:tr>
        <w:tc>
          <w:tcPr>
            <w:tcW w:type="dxa" w:w="1656"/>
            <w:vAlign w:val="top"/>
            <w:tcMar>
              <w:top w:w="90" w:type="dxa"/>
              <w:start w:w="110" w:type="dxa"/>
              <w:bottom w:w="90" w:type="dxa"/>
              <w:end w:w="110" w:type="dxa"/>
            </w:tcMar>
            <w:shd w:fill="F7F9FA"/>
          </w:tcPr>
          <w:p>
            <w:pPr>
              <w:spacing w:after="40"/>
            </w:pPr>
            <w:r>
              <w:rPr>
                <w:rFonts w:ascii="Aptos" w:hAnsi="Aptos"/>
                <w:color w:val="1B2733"/>
                <w:sz w:val="16"/>
              </w:rPr>
              <w:t>Sandralia-first, product-ready</w:t>
            </w:r>
          </w:p>
        </w:tc>
        <w:tc>
          <w:tcPr>
            <w:tcW w:type="dxa" w:w="4320"/>
            <w:vAlign w:val="top"/>
            <w:tcMar>
              <w:top w:w="90" w:type="dxa"/>
              <w:start w:w="110" w:type="dxa"/>
              <w:bottom w:w="90" w:type="dxa"/>
              <w:end w:w="110" w:type="dxa"/>
            </w:tcMar>
            <w:shd w:fill="F7F9FA"/>
          </w:tcPr>
          <w:p>
            <w:pPr>
              <w:spacing w:after="40"/>
            </w:pPr>
            <w:r>
              <w:rPr>
                <w:rFonts w:ascii="Aptos" w:hAnsi="Aptos"/>
                <w:color w:val="1B2733"/>
                <w:sz w:val="16"/>
              </w:rPr>
              <w:t>Pilot the platform at Sandralia while keeping identity, currency, tax, policies, modules and integrations tenant-configurable.</w:t>
            </w:r>
          </w:p>
        </w:tc>
        <w:tc>
          <w:tcPr>
            <w:tcW w:type="dxa" w:w="3384"/>
            <w:vAlign w:val="top"/>
            <w:tcMar>
              <w:top w:w="90" w:type="dxa"/>
              <w:start w:w="110" w:type="dxa"/>
              <w:bottom w:w="90" w:type="dxa"/>
              <w:end w:w="110" w:type="dxa"/>
            </w:tcMar>
            <w:shd w:fill="F7F9FA"/>
          </w:tcPr>
          <w:p>
            <w:pPr>
              <w:spacing w:after="40"/>
            </w:pPr>
            <w:r>
              <w:rPr>
                <w:rFonts w:ascii="Aptos" w:hAnsi="Aptos"/>
                <w:color w:val="1B2733"/>
                <w:sz w:val="16"/>
              </w:rPr>
              <w:t>Tenant isolation, theme pack and repeatable onboarding runbook.</w:t>
            </w:r>
          </w:p>
        </w:tc>
      </w:tr>
      <w:tr>
        <w:tc>
          <w:tcPr>
            <w:tcW w:type="dxa" w:w="1656"/>
            <w:vAlign w:val="top"/>
            <w:tcMar>
              <w:top w:w="90" w:type="dxa"/>
              <w:start w:w="110" w:type="dxa"/>
              <w:bottom w:w="90" w:type="dxa"/>
              <w:end w:w="110" w:type="dxa"/>
            </w:tcMar>
          </w:tcPr>
          <w:p>
            <w:pPr>
              <w:spacing w:after="40"/>
            </w:pPr>
            <w:r>
              <w:rPr>
                <w:rFonts w:ascii="Aptos" w:hAnsi="Aptos"/>
                <w:color w:val="1B2733"/>
                <w:sz w:val="16"/>
              </w:rPr>
              <w:t>Deterministic operations</w:t>
            </w:r>
          </w:p>
        </w:tc>
        <w:tc>
          <w:tcPr>
            <w:tcW w:type="dxa" w:w="4320"/>
            <w:vAlign w:val="top"/>
            <w:tcMar>
              <w:top w:w="90" w:type="dxa"/>
              <w:start w:w="110" w:type="dxa"/>
              <w:bottom w:w="90" w:type="dxa"/>
              <w:end w:w="110" w:type="dxa"/>
            </w:tcMar>
          </w:tcPr>
          <w:p>
            <w:pPr>
              <w:spacing w:after="40"/>
            </w:pPr>
            <w:r>
              <w:rPr>
                <w:rFonts w:ascii="Aptos" w:hAnsi="Aptos"/>
                <w:color w:val="1B2733"/>
                <w:sz w:val="16"/>
              </w:rPr>
              <w:t>Availability, money, tax, commissions, inventory, approvals and status transitions remain server-calculated and auditable.</w:t>
            </w:r>
          </w:p>
        </w:tc>
        <w:tc>
          <w:tcPr>
            <w:tcW w:type="dxa" w:w="3384"/>
            <w:vAlign w:val="top"/>
            <w:tcMar>
              <w:top w:w="90" w:type="dxa"/>
              <w:start w:w="110" w:type="dxa"/>
              <w:bottom w:w="90" w:type="dxa"/>
              <w:end w:w="110" w:type="dxa"/>
            </w:tcMar>
          </w:tcPr>
          <w:p>
            <w:pPr>
              <w:spacing w:after="40"/>
            </w:pPr>
            <w:r>
              <w:rPr>
                <w:rFonts w:ascii="Aptos" w:hAnsi="Aptos"/>
                <w:color w:val="1B2733"/>
                <w:sz w:val="16"/>
              </w:rPr>
              <w:t>Database constraints, immutable events and reconciliation evidence.</w:t>
            </w:r>
          </w:p>
        </w:tc>
      </w:tr>
      <w:tr>
        <w:tc>
          <w:tcPr>
            <w:tcW w:type="dxa" w:w="1656"/>
            <w:vAlign w:val="top"/>
            <w:tcMar>
              <w:top w:w="90" w:type="dxa"/>
              <w:start w:w="110" w:type="dxa"/>
              <w:bottom w:w="90" w:type="dxa"/>
              <w:end w:w="110" w:type="dxa"/>
            </w:tcMar>
            <w:shd w:fill="F7F9FA"/>
          </w:tcPr>
          <w:p>
            <w:pPr>
              <w:spacing w:after="40"/>
            </w:pPr>
            <w:r>
              <w:rPr>
                <w:rFonts w:ascii="Aptos" w:hAnsi="Aptos"/>
                <w:color w:val="1B2733"/>
                <w:sz w:val="16"/>
              </w:rPr>
              <w:t>Governed intelligence</w:t>
            </w:r>
          </w:p>
        </w:tc>
        <w:tc>
          <w:tcPr>
            <w:tcW w:type="dxa" w:w="4320"/>
            <w:vAlign w:val="top"/>
            <w:tcMar>
              <w:top w:w="90" w:type="dxa"/>
              <w:start w:w="110" w:type="dxa"/>
              <w:bottom w:w="90" w:type="dxa"/>
              <w:end w:w="110" w:type="dxa"/>
            </w:tcMar>
            <w:shd w:fill="F7F9FA"/>
          </w:tcPr>
          <w:p>
            <w:pPr>
              <w:spacing w:after="40"/>
            </w:pPr>
            <w:r>
              <w:rPr>
                <w:rFonts w:ascii="Aptos" w:hAnsi="Aptos"/>
                <w:color w:val="1B2733"/>
                <w:sz w:val="16"/>
              </w:rPr>
              <w:t>AI explains, drafts, forecasts and recommends; consequential external actions require scoped permission and human approval.</w:t>
            </w:r>
          </w:p>
        </w:tc>
        <w:tc>
          <w:tcPr>
            <w:tcW w:type="dxa" w:w="3384"/>
            <w:vAlign w:val="top"/>
            <w:tcMar>
              <w:top w:w="90" w:type="dxa"/>
              <w:start w:w="110" w:type="dxa"/>
              <w:bottom w:w="90" w:type="dxa"/>
              <w:end w:w="110" w:type="dxa"/>
            </w:tcMar>
            <w:shd w:fill="F7F9FA"/>
          </w:tcPr>
          <w:p>
            <w:pPr>
              <w:spacing w:after="40"/>
            </w:pPr>
            <w:r>
              <w:rPr>
                <w:rFonts w:ascii="Aptos" w:hAnsi="Aptos"/>
                <w:color w:val="1B2733"/>
                <w:sz w:val="16"/>
              </w:rPr>
              <w:t>Evaluation set, source references, content hash and decision log.</w:t>
            </w:r>
          </w:p>
        </w:tc>
      </w:tr>
      <w:tr>
        <w:tc>
          <w:tcPr>
            <w:tcW w:type="dxa" w:w="1656"/>
            <w:vAlign w:val="top"/>
            <w:tcMar>
              <w:top w:w="90" w:type="dxa"/>
              <w:start w:w="110" w:type="dxa"/>
              <w:bottom w:w="90" w:type="dxa"/>
              <w:end w:w="110" w:type="dxa"/>
            </w:tcMar>
          </w:tcPr>
          <w:p>
            <w:pPr>
              <w:spacing w:after="40"/>
            </w:pPr>
            <w:r>
              <w:rPr>
                <w:rFonts w:ascii="Aptos" w:hAnsi="Aptos"/>
                <w:color w:val="1B2733"/>
                <w:sz w:val="16"/>
              </w:rPr>
              <w:t>Portable delivery</w:t>
            </w:r>
          </w:p>
        </w:tc>
        <w:tc>
          <w:tcPr>
            <w:tcW w:type="dxa" w:w="4320"/>
            <w:vAlign w:val="top"/>
            <w:tcMar>
              <w:top w:w="90" w:type="dxa"/>
              <w:start w:w="110" w:type="dxa"/>
              <w:bottom w:w="90" w:type="dxa"/>
              <w:end w:w="110" w:type="dxa"/>
            </w:tcMar>
          </w:tcPr>
          <w:p>
            <w:pPr>
              <w:spacing w:after="40"/>
            </w:pPr>
            <w:r>
              <w:rPr>
                <w:rFonts w:ascii="Aptos" w:hAnsi="Aptos"/>
                <w:color w:val="1B2733"/>
                <w:sz w:val="16"/>
              </w:rPr>
              <w:t>Begin with a modular shared-hosting-compatible release, then migrate through VPS, hybrid and managed-cloud tiers without product rewrite.</w:t>
            </w:r>
          </w:p>
        </w:tc>
        <w:tc>
          <w:tcPr>
            <w:tcW w:type="dxa" w:w="3384"/>
            <w:vAlign w:val="top"/>
            <w:tcMar>
              <w:top w:w="90" w:type="dxa"/>
              <w:start w:w="110" w:type="dxa"/>
              <w:bottom w:w="90" w:type="dxa"/>
              <w:end w:w="110" w:type="dxa"/>
            </w:tcMar>
          </w:tcPr>
          <w:p>
            <w:pPr>
              <w:spacing w:after="40"/>
            </w:pPr>
            <w:r>
              <w:rPr>
                <w:rFonts w:ascii="Aptos" w:hAnsi="Aptos"/>
                <w:color w:val="1B2733"/>
                <w:sz w:val="16"/>
              </w:rPr>
              <w:t>Adapters, migrations, backup/restore and tested cutover plan.</w:t>
            </w:r>
          </w:p>
        </w:tc>
      </w:tr>
    </w:tbl>
    <w:p>
      <w:pPr>
        <w:pStyle w:val="Heading2"/>
      </w:pPr>
      <w:r>
        <w:t>37.2 RAHIS product capability map</w:t>
      </w:r>
    </w:p>
    <w:tbl>
      <w:tblPr>
        <w:tblStyle w:val="TableGrid"/>
        <w:tblW w:type="dxa" w:w="9360"/>
        <w:jc w:val="left"/>
        <w:tblLayout w:type="fixed"/>
        <w:tblLook w:firstColumn="1" w:firstRow="1" w:lastColumn="0" w:lastRow="0" w:noHBand="0" w:noVBand="1" w:val="04A0"/>
        <w:tblInd w:type="dxa" w:w="110"/>
      </w:tblPr>
      <w:tblGrid>
        <w:gridCol w:w="1728"/>
        <w:gridCol w:w="4968"/>
        <w:gridCol w:w="2664"/>
      </w:tblGrid>
      <w:tr>
        <w:trPr>
          <w:tblHeader w:val="true"/>
        </w:trPr>
        <w:tc>
          <w:tcPr>
            <w:tcW w:type="dxa" w:w="1728"/>
            <w:vAlign w:val="center"/>
            <w:shd w:fill="10263B"/>
            <w:tcMar>
              <w:top w:w="90" w:type="dxa"/>
              <w:start w:w="110" w:type="dxa"/>
              <w:bottom w:w="90" w:type="dxa"/>
              <w:end w:w="110" w:type="dxa"/>
            </w:tcMar>
          </w:tcPr>
          <w:p>
            <w:r>
              <w:rPr>
                <w:rFonts w:ascii="Aptos" w:hAnsi="Aptos"/>
                <w:b/>
                <w:color w:val="FFFFFF"/>
                <w:sz w:val="17"/>
              </w:rPr>
              <w:t>Capability plane</w:t>
            </w:r>
          </w:p>
        </w:tc>
        <w:tc>
          <w:tcPr>
            <w:tcW w:type="dxa" w:w="4968"/>
            <w:vAlign w:val="center"/>
            <w:shd w:fill="10263B"/>
            <w:tcMar>
              <w:top w:w="90" w:type="dxa"/>
              <w:start w:w="110" w:type="dxa"/>
              <w:bottom w:w="90" w:type="dxa"/>
              <w:end w:w="110" w:type="dxa"/>
            </w:tcMar>
          </w:tcPr>
          <w:p>
            <w:r>
              <w:rPr>
                <w:rFonts w:ascii="Aptos" w:hAnsi="Aptos"/>
                <w:b/>
                <w:color w:val="FFFFFF"/>
                <w:sz w:val="17"/>
              </w:rPr>
              <w:t>Product modules</w:t>
            </w:r>
          </w:p>
        </w:tc>
        <w:tc>
          <w:tcPr>
            <w:tcW w:type="dxa" w:w="2664"/>
            <w:vAlign w:val="center"/>
            <w:shd w:fill="10263B"/>
            <w:tcMar>
              <w:top w:w="90" w:type="dxa"/>
              <w:start w:w="110" w:type="dxa"/>
              <w:bottom w:w="90" w:type="dxa"/>
              <w:end w:w="110" w:type="dxa"/>
            </w:tcMar>
          </w:tcPr>
          <w:p>
            <w:r>
              <w:rPr>
                <w:rFonts w:ascii="Aptos" w:hAnsi="Aptos"/>
                <w:b/>
                <w:color w:val="FFFFFF"/>
                <w:sz w:val="17"/>
              </w:rPr>
              <w:t>Authoritative outcomes</w:t>
            </w:r>
          </w:p>
        </w:tc>
      </w:tr>
      <w:tr>
        <w:tc>
          <w:tcPr>
            <w:tcW w:type="dxa" w:w="1728"/>
            <w:vAlign w:val="top"/>
            <w:tcMar>
              <w:top w:w="90" w:type="dxa"/>
              <w:start w:w="110" w:type="dxa"/>
              <w:bottom w:w="90" w:type="dxa"/>
              <w:end w:w="110" w:type="dxa"/>
            </w:tcMar>
          </w:tcPr>
          <w:p>
            <w:pPr>
              <w:spacing w:after="40"/>
            </w:pPr>
            <w:r>
              <w:rPr>
                <w:rFonts w:ascii="Aptos" w:hAnsi="Aptos"/>
                <w:color w:val="1B2733"/>
                <w:sz w:val="16"/>
              </w:rPr>
              <w:t>Stay and inventory</w:t>
            </w:r>
          </w:p>
        </w:tc>
        <w:tc>
          <w:tcPr>
            <w:tcW w:type="dxa" w:w="4968"/>
            <w:vAlign w:val="top"/>
            <w:tcMar>
              <w:top w:w="90" w:type="dxa"/>
              <w:start w:w="110" w:type="dxa"/>
              <w:bottom w:w="90" w:type="dxa"/>
              <w:end w:w="110" w:type="dxa"/>
            </w:tcMar>
          </w:tcPr>
          <w:p>
            <w:pPr>
              <w:spacing w:after="40"/>
            </w:pPr>
            <w:r>
              <w:rPr>
                <w:rFonts w:ascii="Aptos" w:hAnsi="Aptos"/>
                <w:color w:val="1B2733"/>
                <w:sz w:val="16"/>
              </w:rPr>
              <w:t>PMS, central calendar, reservations, room assignment, stay, folio, housekeeping, maintenance and self-service arrival/departure.</w:t>
            </w:r>
          </w:p>
        </w:tc>
        <w:tc>
          <w:tcPr>
            <w:tcW w:type="dxa" w:w="2664"/>
            <w:vAlign w:val="top"/>
            <w:tcMar>
              <w:top w:w="90" w:type="dxa"/>
              <w:start w:w="110" w:type="dxa"/>
              <w:bottom w:w="90" w:type="dxa"/>
              <w:end w:w="110" w:type="dxa"/>
            </w:tcMar>
          </w:tcPr>
          <w:p>
            <w:pPr>
              <w:spacing w:after="40"/>
            </w:pPr>
            <w:r>
              <w:rPr>
                <w:rFonts w:ascii="Aptos" w:hAnsi="Aptos"/>
                <w:color w:val="1B2733"/>
                <w:sz w:val="16"/>
              </w:rPr>
              <w:t>One guest/stay record and dated inventory without silent overbooking.</w:t>
            </w:r>
          </w:p>
        </w:tc>
      </w:tr>
      <w:tr>
        <w:tc>
          <w:tcPr>
            <w:tcW w:type="dxa" w:w="1728"/>
            <w:vAlign w:val="top"/>
            <w:tcMar>
              <w:top w:w="90" w:type="dxa"/>
              <w:start w:w="110" w:type="dxa"/>
              <w:bottom w:w="90" w:type="dxa"/>
              <w:end w:w="110" w:type="dxa"/>
            </w:tcMar>
            <w:shd w:fill="F7F9FA"/>
          </w:tcPr>
          <w:p>
            <w:pPr>
              <w:spacing w:after="40"/>
            </w:pPr>
            <w:r>
              <w:rPr>
                <w:rFonts w:ascii="Aptos" w:hAnsi="Aptos"/>
                <w:color w:val="1B2733"/>
                <w:sz w:val="16"/>
              </w:rPr>
              <w:t>Distribution and revenue</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Channel manager, room/rate mapping, CRS, booking engine, rate shopper, forecasting, restrictions, dynamic-pricing recommendations.</w:t>
            </w:r>
          </w:p>
        </w:tc>
        <w:tc>
          <w:tcPr>
            <w:tcW w:type="dxa" w:w="2664"/>
            <w:vAlign w:val="top"/>
            <w:tcMar>
              <w:top w:w="90" w:type="dxa"/>
              <w:start w:w="110" w:type="dxa"/>
              <w:bottom w:w="90" w:type="dxa"/>
              <w:end w:w="110" w:type="dxa"/>
            </w:tcMar>
            <w:shd w:fill="F7F9FA"/>
          </w:tcPr>
          <w:p>
            <w:pPr>
              <w:spacing w:after="40"/>
            </w:pPr>
            <w:r>
              <w:rPr>
                <w:rFonts w:ascii="Aptos" w:hAnsi="Aptos"/>
                <w:color w:val="1B2733"/>
                <w:sz w:val="16"/>
              </w:rPr>
              <w:t>Synchronized inventory/rates with approval, acknowledgement and parity evidence.</w:t>
            </w:r>
          </w:p>
        </w:tc>
      </w:tr>
      <w:tr>
        <w:tc>
          <w:tcPr>
            <w:tcW w:type="dxa" w:w="1728"/>
            <w:vAlign w:val="top"/>
            <w:tcMar>
              <w:top w:w="90" w:type="dxa"/>
              <w:start w:w="110" w:type="dxa"/>
              <w:bottom w:w="90" w:type="dxa"/>
              <w:end w:w="110" w:type="dxa"/>
            </w:tcMar>
          </w:tcPr>
          <w:p>
            <w:pPr>
              <w:spacing w:after="40"/>
            </w:pPr>
            <w:r>
              <w:rPr>
                <w:rFonts w:ascii="Aptos" w:hAnsi="Aptos"/>
                <w:color w:val="1B2733"/>
                <w:sz w:val="16"/>
              </w:rPr>
              <w:t>Guest engagement</w:t>
            </w:r>
          </w:p>
        </w:tc>
        <w:tc>
          <w:tcPr>
            <w:tcW w:type="dxa" w:w="4968"/>
            <w:vAlign w:val="top"/>
            <w:tcMar>
              <w:top w:w="90" w:type="dxa"/>
              <w:start w:w="110" w:type="dxa"/>
              <w:bottom w:w="90" w:type="dxa"/>
              <w:end w:w="110" w:type="dxa"/>
            </w:tcMar>
          </w:tcPr>
          <w:p>
            <w:pPr>
              <w:spacing w:after="40"/>
            </w:pPr>
            <w:r>
              <w:rPr>
                <w:rFonts w:ascii="Aptos" w:hAnsi="Aptos"/>
                <w:color w:val="1B2733"/>
                <w:sz w:val="16"/>
              </w:rPr>
              <w:t>Unified OTA/direct inbox, translation state, templates, journey automation, CRM, loyalty, reviews and reputation cases.</w:t>
            </w:r>
          </w:p>
        </w:tc>
        <w:tc>
          <w:tcPr>
            <w:tcW w:type="dxa" w:w="2664"/>
            <w:vAlign w:val="top"/>
            <w:tcMar>
              <w:top w:w="90" w:type="dxa"/>
              <w:start w:w="110" w:type="dxa"/>
              <w:bottom w:w="90" w:type="dxa"/>
              <w:end w:w="110" w:type="dxa"/>
            </w:tcMar>
          </w:tcPr>
          <w:p>
            <w:pPr>
              <w:spacing w:after="40"/>
            </w:pPr>
            <w:r>
              <w:rPr>
                <w:rFonts w:ascii="Aptos" w:hAnsi="Aptos"/>
                <w:color w:val="1B2733"/>
                <w:sz w:val="16"/>
              </w:rPr>
              <w:t>Faster response with consent, source language and reservation context.</w:t>
            </w:r>
          </w:p>
        </w:tc>
      </w:tr>
      <w:tr>
        <w:tc>
          <w:tcPr>
            <w:tcW w:type="dxa" w:w="1728"/>
            <w:vAlign w:val="top"/>
            <w:tcMar>
              <w:top w:w="90" w:type="dxa"/>
              <w:start w:w="110" w:type="dxa"/>
              <w:bottom w:w="90" w:type="dxa"/>
              <w:end w:w="110" w:type="dxa"/>
            </w:tcMar>
            <w:shd w:fill="F7F9FA"/>
          </w:tcPr>
          <w:p>
            <w:pPr>
              <w:spacing w:after="40"/>
            </w:pPr>
            <w:r>
              <w:rPr>
                <w:rFonts w:ascii="Aptos" w:hAnsi="Aptos"/>
                <w:color w:val="1B2733"/>
                <w:sz w:val="16"/>
              </w:rPr>
              <w:t>Commerce and fulfilment</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Restaurant/bar catalogue, room service, pickup, external delivery, cart, checkout, POS, kitchen routing, payment and vehicle dispatch.</w:t>
            </w:r>
          </w:p>
        </w:tc>
        <w:tc>
          <w:tcPr>
            <w:tcW w:type="dxa" w:w="2664"/>
            <w:vAlign w:val="top"/>
            <w:tcMar>
              <w:top w:w="90" w:type="dxa"/>
              <w:start w:w="110" w:type="dxa"/>
              <w:bottom w:w="90" w:type="dxa"/>
              <w:end w:w="110" w:type="dxa"/>
            </w:tcMar>
            <w:shd w:fill="F7F9FA"/>
          </w:tcPr>
          <w:p>
            <w:pPr>
              <w:spacing w:after="40"/>
            </w:pPr>
            <w:r>
              <w:rPr>
                <w:rFonts w:ascii="Aptos" w:hAnsi="Aptos"/>
                <w:color w:val="1B2733"/>
                <w:sz w:val="16"/>
              </w:rPr>
              <w:t>Server-priced orders, station-specific work and proof of fulfilment.</w:t>
            </w:r>
          </w:p>
        </w:tc>
      </w:tr>
      <w:tr>
        <w:tc>
          <w:tcPr>
            <w:tcW w:type="dxa" w:w="1728"/>
            <w:vAlign w:val="top"/>
            <w:tcMar>
              <w:top w:w="90" w:type="dxa"/>
              <w:start w:w="110" w:type="dxa"/>
              <w:bottom w:w="90" w:type="dxa"/>
              <w:end w:w="110" w:type="dxa"/>
            </w:tcMar>
          </w:tcPr>
          <w:p>
            <w:pPr>
              <w:spacing w:after="40"/>
            </w:pPr>
            <w:r>
              <w:rPr>
                <w:rFonts w:ascii="Aptos" w:hAnsi="Aptos"/>
                <w:color w:val="1B2733"/>
                <w:sz w:val="16"/>
              </w:rPr>
              <w:t>Business control</w:t>
            </w:r>
          </w:p>
        </w:tc>
        <w:tc>
          <w:tcPr>
            <w:tcW w:type="dxa" w:w="4968"/>
            <w:vAlign w:val="top"/>
            <w:tcMar>
              <w:top w:w="90" w:type="dxa"/>
              <w:start w:w="110" w:type="dxa"/>
              <w:bottom w:w="90" w:type="dxa"/>
              <w:end w:w="110" w:type="dxa"/>
            </w:tcMar>
          </w:tcPr>
          <w:p>
            <w:pPr>
              <w:spacing w:after="40"/>
            </w:pPr>
            <w:r>
              <w:rPr>
                <w:rFonts w:ascii="Aptos" w:hAnsi="Aptos"/>
                <w:color w:val="1B2733"/>
                <w:sz w:val="16"/>
              </w:rPr>
              <w:t>Finance, cash, reconciliation, procurement, stores, HR, payroll, security, fleet, utilities, ICT, cyber and executive reporting.</w:t>
            </w:r>
          </w:p>
        </w:tc>
        <w:tc>
          <w:tcPr>
            <w:tcW w:type="dxa" w:w="2664"/>
            <w:vAlign w:val="top"/>
            <w:tcMar>
              <w:top w:w="90" w:type="dxa"/>
              <w:start w:w="110" w:type="dxa"/>
              <w:bottom w:w="90" w:type="dxa"/>
              <w:end w:w="110" w:type="dxa"/>
            </w:tcMar>
          </w:tcPr>
          <w:p>
            <w:pPr>
              <w:spacing w:after="40"/>
            </w:pPr>
            <w:r>
              <w:rPr>
                <w:rFonts w:ascii="Aptos" w:hAnsi="Aptos"/>
                <w:color w:val="1B2733"/>
                <w:sz w:val="16"/>
              </w:rPr>
              <w:t>Append-only evidence, segregation of duties and source-backed metrics.</w:t>
            </w:r>
          </w:p>
        </w:tc>
      </w:tr>
      <w:tr>
        <w:tc>
          <w:tcPr>
            <w:tcW w:type="dxa" w:w="1728"/>
            <w:vAlign w:val="top"/>
            <w:tcMar>
              <w:top w:w="90" w:type="dxa"/>
              <w:start w:w="110" w:type="dxa"/>
              <w:bottom w:w="90" w:type="dxa"/>
              <w:end w:w="110" w:type="dxa"/>
            </w:tcMar>
            <w:shd w:fill="F7F9FA"/>
          </w:tcPr>
          <w:p>
            <w:pPr>
              <w:spacing w:after="40"/>
            </w:pPr>
            <w:r>
              <w:rPr>
                <w:rFonts w:ascii="Aptos" w:hAnsi="Aptos"/>
                <w:color w:val="1B2733"/>
                <w:sz w:val="16"/>
              </w:rPr>
              <w:t>Growth and collaboration</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AI-assisted ads/social, leads, retargeting governance, branded web, blog, WorkSuite mail/calendar/docs/sheets/slides/files/chat/tasks/meetings.</w:t>
            </w:r>
          </w:p>
        </w:tc>
        <w:tc>
          <w:tcPr>
            <w:tcW w:type="dxa" w:w="2664"/>
            <w:vAlign w:val="top"/>
            <w:tcMar>
              <w:top w:w="90" w:type="dxa"/>
              <w:start w:w="110" w:type="dxa"/>
              <w:bottom w:w="90" w:type="dxa"/>
              <w:end w:w="110" w:type="dxa"/>
            </w:tcMar>
            <w:shd w:fill="F7F9FA"/>
          </w:tcPr>
          <w:p>
            <w:pPr>
              <w:spacing w:after="40"/>
            </w:pPr>
            <w:r>
              <w:rPr>
                <w:rFonts w:ascii="Aptos" w:hAnsi="Aptos"/>
                <w:color w:val="1B2733"/>
                <w:sz w:val="16"/>
              </w:rPr>
              <w:t>Draft-first external activity and property-scoped collaboration.</w:t>
            </w:r>
          </w:p>
        </w:tc>
      </w:tr>
    </w:tbl>
    <w:p>
      <w:r>
        <w:br w:type="page"/>
      </w:r>
    </w:p>
    <w:p>
      <w:pPr>
        <w:pStyle w:val="Heading2"/>
      </w:pPr>
      <w:r>
        <w:t>37.3 Departmental digital operating model</w:t>
      </w:r>
    </w:p>
    <w:p>
      <w:r>
        <w:t>The objective is not merely paper reduction. Each department receives a role-scoped work queue, approved runbooks, shift execution records, evidence capture, exception routing, service-level clocks, handoffs and management reports. Paper may remain only where law, safety or outage continuity requires it; controlled forms must be digitised and reconciled afterwards.</w:t>
      </w:r>
    </w:p>
    <w:tbl>
      <w:tblPr>
        <w:tblStyle w:val="TableGrid"/>
        <w:tblW w:type="dxa" w:w="9360"/>
        <w:jc w:val="left"/>
        <w:tblLayout w:type="fixed"/>
        <w:tblLook w:firstColumn="1" w:firstRow="1" w:lastColumn="0" w:lastRow="0" w:noHBand="0" w:noVBand="1" w:val="04A0"/>
        <w:tblInd w:type="dxa" w:w="110"/>
      </w:tblPr>
      <w:tblGrid>
        <w:gridCol w:w="2088"/>
        <w:gridCol w:w="4968"/>
        <w:gridCol w:w="2304"/>
      </w:tblGrid>
      <w:tr>
        <w:trPr>
          <w:tblHeader w:val="true"/>
        </w:trPr>
        <w:tc>
          <w:tcPr>
            <w:tcW w:type="dxa" w:w="2088"/>
            <w:vAlign w:val="center"/>
            <w:shd w:fill="10263B"/>
            <w:tcMar>
              <w:top w:w="90" w:type="dxa"/>
              <w:start w:w="110" w:type="dxa"/>
              <w:bottom w:w="90" w:type="dxa"/>
              <w:end w:w="110" w:type="dxa"/>
            </w:tcMar>
          </w:tcPr>
          <w:p>
            <w:r>
              <w:rPr>
                <w:rFonts w:ascii="Aptos" w:hAnsi="Aptos"/>
                <w:b/>
                <w:color w:val="FFFFFF"/>
                <w:sz w:val="17"/>
              </w:rPr>
              <w:t>Department</w:t>
            </w:r>
          </w:p>
        </w:tc>
        <w:tc>
          <w:tcPr>
            <w:tcW w:type="dxa" w:w="4968"/>
            <w:vAlign w:val="center"/>
            <w:shd w:fill="10263B"/>
            <w:tcMar>
              <w:top w:w="90" w:type="dxa"/>
              <w:start w:w="110" w:type="dxa"/>
              <w:bottom w:w="90" w:type="dxa"/>
              <w:end w:w="110" w:type="dxa"/>
            </w:tcMar>
          </w:tcPr>
          <w:p>
            <w:r>
              <w:rPr>
                <w:rFonts w:ascii="Aptos" w:hAnsi="Aptos"/>
                <w:b/>
                <w:color w:val="FFFFFF"/>
                <w:sz w:val="17"/>
              </w:rPr>
              <w:t>Digitised daily work</w:t>
            </w:r>
          </w:p>
        </w:tc>
        <w:tc>
          <w:tcPr>
            <w:tcW w:type="dxa" w:w="2304"/>
            <w:vAlign w:val="center"/>
            <w:shd w:fill="10263B"/>
            <w:tcMar>
              <w:top w:w="90" w:type="dxa"/>
              <w:start w:w="110" w:type="dxa"/>
              <w:bottom w:w="90" w:type="dxa"/>
              <w:end w:w="110" w:type="dxa"/>
            </w:tcMar>
          </w:tcPr>
          <w:p>
            <w:r>
              <w:rPr>
                <w:rFonts w:ascii="Aptos" w:hAnsi="Aptos"/>
                <w:b/>
                <w:color w:val="FFFFFF"/>
                <w:sz w:val="17"/>
              </w:rPr>
              <w:t>Control/report outcome</w:t>
            </w:r>
          </w:p>
        </w:tc>
      </w:tr>
      <w:tr>
        <w:tc>
          <w:tcPr>
            <w:tcW w:type="dxa" w:w="2088"/>
            <w:vAlign w:val="top"/>
            <w:tcMar>
              <w:top w:w="90" w:type="dxa"/>
              <w:start w:w="110" w:type="dxa"/>
              <w:bottom w:w="90" w:type="dxa"/>
              <w:end w:w="110" w:type="dxa"/>
            </w:tcMar>
          </w:tcPr>
          <w:p>
            <w:pPr>
              <w:spacing w:after="40"/>
            </w:pPr>
            <w:r>
              <w:rPr>
                <w:rFonts w:ascii="Aptos" w:hAnsi="Aptos"/>
                <w:color w:val="1B2733"/>
                <w:sz w:val="16"/>
              </w:rPr>
              <w:t>Executive Office</w:t>
            </w:r>
          </w:p>
        </w:tc>
        <w:tc>
          <w:tcPr>
            <w:tcW w:type="dxa" w:w="4968"/>
            <w:vAlign w:val="top"/>
            <w:tcMar>
              <w:top w:w="90" w:type="dxa"/>
              <w:start w:w="110" w:type="dxa"/>
              <w:bottom w:w="90" w:type="dxa"/>
              <w:end w:w="110" w:type="dxa"/>
            </w:tcMar>
          </w:tcPr>
          <w:p>
            <w:pPr>
              <w:spacing w:after="40"/>
            </w:pPr>
            <w:r>
              <w:rPr>
                <w:rFonts w:ascii="Aptos" w:hAnsi="Aptos"/>
                <w:color w:val="1B2733"/>
                <w:sz w:val="16"/>
              </w:rPr>
              <w:t>Strategy, approvals, daily brief, risk and performance review</w:t>
            </w:r>
          </w:p>
        </w:tc>
        <w:tc>
          <w:tcPr>
            <w:tcW w:type="dxa" w:w="2304"/>
            <w:vAlign w:val="top"/>
            <w:tcMar>
              <w:top w:w="90" w:type="dxa"/>
              <w:start w:w="110" w:type="dxa"/>
              <w:bottom w:w="90" w:type="dxa"/>
              <w:end w:w="110" w:type="dxa"/>
            </w:tcMar>
          </w:tcPr>
          <w:p>
            <w:pPr>
              <w:spacing w:after="40"/>
            </w:pPr>
            <w:r>
              <w:rPr>
                <w:rFonts w:ascii="Aptos" w:hAnsi="Aptos"/>
                <w:color w:val="1B2733"/>
                <w:sz w:val="16"/>
              </w:rPr>
              <w:t>Executive scorecard; decision register</w:t>
            </w:r>
          </w:p>
        </w:tc>
      </w:tr>
      <w:tr>
        <w:tc>
          <w:tcPr>
            <w:tcW w:type="dxa" w:w="2088"/>
            <w:vAlign w:val="top"/>
            <w:tcMar>
              <w:top w:w="90" w:type="dxa"/>
              <w:start w:w="110" w:type="dxa"/>
              <w:bottom w:w="90" w:type="dxa"/>
              <w:end w:w="110" w:type="dxa"/>
            </w:tcMar>
            <w:shd w:fill="F7F9FA"/>
          </w:tcPr>
          <w:p>
            <w:pPr>
              <w:spacing w:after="40"/>
            </w:pPr>
            <w:r>
              <w:rPr>
                <w:rFonts w:ascii="Aptos" w:hAnsi="Aptos"/>
                <w:color w:val="1B2733"/>
                <w:sz w:val="16"/>
              </w:rPr>
              <w:t>Front Office &amp; Reservations</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Bookings, arrivals, stays, keys, folios, departures</w:t>
            </w:r>
          </w:p>
        </w:tc>
        <w:tc>
          <w:tcPr>
            <w:tcW w:type="dxa" w:w="2304"/>
            <w:vAlign w:val="top"/>
            <w:tcMar>
              <w:top w:w="90" w:type="dxa"/>
              <w:start w:w="110" w:type="dxa"/>
              <w:bottom w:w="90" w:type="dxa"/>
              <w:end w:w="110" w:type="dxa"/>
            </w:tcMar>
            <w:shd w:fill="F7F9FA"/>
          </w:tcPr>
          <w:p>
            <w:pPr>
              <w:spacing w:after="40"/>
            </w:pPr>
            <w:r>
              <w:rPr>
                <w:rFonts w:ascii="Aptos" w:hAnsi="Aptos"/>
                <w:color w:val="1B2733"/>
                <w:sz w:val="16"/>
              </w:rPr>
              <w:t>Arrival control; room and deposit exceptions</w:t>
            </w:r>
          </w:p>
        </w:tc>
      </w:tr>
      <w:tr>
        <w:tc>
          <w:tcPr>
            <w:tcW w:type="dxa" w:w="2088"/>
            <w:vAlign w:val="top"/>
            <w:tcMar>
              <w:top w:w="90" w:type="dxa"/>
              <w:start w:w="110" w:type="dxa"/>
              <w:bottom w:w="90" w:type="dxa"/>
              <w:end w:w="110" w:type="dxa"/>
            </w:tcMar>
          </w:tcPr>
          <w:p>
            <w:pPr>
              <w:spacing w:after="40"/>
            </w:pPr>
            <w:r>
              <w:rPr>
                <w:rFonts w:ascii="Aptos" w:hAnsi="Aptos"/>
                <w:color w:val="1B2733"/>
                <w:sz w:val="16"/>
              </w:rPr>
              <w:t>Housekeeping &amp; Laundry</w:t>
            </w:r>
          </w:p>
        </w:tc>
        <w:tc>
          <w:tcPr>
            <w:tcW w:type="dxa" w:w="4968"/>
            <w:vAlign w:val="top"/>
            <w:tcMar>
              <w:top w:w="90" w:type="dxa"/>
              <w:start w:w="110" w:type="dxa"/>
              <w:bottom w:w="90" w:type="dxa"/>
              <w:end w:w="110" w:type="dxa"/>
            </w:tcMar>
          </w:tcPr>
          <w:p>
            <w:pPr>
              <w:spacing w:after="40"/>
            </w:pPr>
            <w:r>
              <w:rPr>
                <w:rFonts w:ascii="Aptos" w:hAnsi="Aptos"/>
                <w:color w:val="1B2733"/>
                <w:sz w:val="16"/>
              </w:rPr>
              <w:t>Room status, cleaning, linen, minibar, lost property</w:t>
            </w:r>
          </w:p>
        </w:tc>
        <w:tc>
          <w:tcPr>
            <w:tcW w:type="dxa" w:w="2304"/>
            <w:vAlign w:val="top"/>
            <w:tcMar>
              <w:top w:w="90" w:type="dxa"/>
              <w:start w:w="110" w:type="dxa"/>
              <w:bottom w:w="90" w:type="dxa"/>
              <w:end w:w="110" w:type="dxa"/>
            </w:tcMar>
          </w:tcPr>
          <w:p>
            <w:pPr>
              <w:spacing w:after="40"/>
            </w:pPr>
            <w:r>
              <w:rPr>
                <w:rFonts w:ascii="Aptos" w:hAnsi="Aptos"/>
                <w:color w:val="1B2733"/>
                <w:sz w:val="16"/>
              </w:rPr>
              <w:t>Room turnaround; discrepancy and linen variance</w:t>
            </w:r>
          </w:p>
        </w:tc>
      </w:tr>
      <w:tr>
        <w:tc>
          <w:tcPr>
            <w:tcW w:type="dxa" w:w="2088"/>
            <w:vAlign w:val="top"/>
            <w:tcMar>
              <w:top w:w="90" w:type="dxa"/>
              <w:start w:w="110" w:type="dxa"/>
              <w:bottom w:w="90" w:type="dxa"/>
              <w:end w:w="110" w:type="dxa"/>
            </w:tcMar>
            <w:shd w:fill="F7F9FA"/>
          </w:tcPr>
          <w:p>
            <w:pPr>
              <w:spacing w:after="40"/>
            </w:pPr>
            <w:r>
              <w:rPr>
                <w:rFonts w:ascii="Aptos" w:hAnsi="Aptos"/>
                <w:color w:val="1B2733"/>
                <w:sz w:val="16"/>
              </w:rPr>
              <w:t>Food &amp; Beverage Service</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Table, bar, room-service and delivery fulfilment</w:t>
            </w:r>
          </w:p>
        </w:tc>
        <w:tc>
          <w:tcPr>
            <w:tcW w:type="dxa" w:w="2304"/>
            <w:vAlign w:val="top"/>
            <w:tcMar>
              <w:top w:w="90" w:type="dxa"/>
              <w:start w:w="110" w:type="dxa"/>
              <w:bottom w:w="90" w:type="dxa"/>
              <w:end w:w="110" w:type="dxa"/>
            </w:tcMar>
            <w:shd w:fill="F7F9FA"/>
          </w:tcPr>
          <w:p>
            <w:pPr>
              <w:spacing w:after="40"/>
            </w:pPr>
            <w:r>
              <w:rPr>
                <w:rFonts w:ascii="Aptos" w:hAnsi="Aptos"/>
                <w:color w:val="1B2733"/>
                <w:sz w:val="16"/>
              </w:rPr>
              <w:t>Order SLA; void, discount and tray collection</w:t>
            </w:r>
          </w:p>
        </w:tc>
      </w:tr>
      <w:tr>
        <w:tc>
          <w:tcPr>
            <w:tcW w:type="dxa" w:w="2088"/>
            <w:vAlign w:val="top"/>
            <w:tcMar>
              <w:top w:w="90" w:type="dxa"/>
              <w:start w:w="110" w:type="dxa"/>
              <w:bottom w:w="90" w:type="dxa"/>
              <w:end w:w="110" w:type="dxa"/>
            </w:tcMar>
          </w:tcPr>
          <w:p>
            <w:pPr>
              <w:spacing w:after="40"/>
            </w:pPr>
            <w:r>
              <w:rPr>
                <w:rFonts w:ascii="Aptos" w:hAnsi="Aptos"/>
                <w:color w:val="1B2733"/>
                <w:sz w:val="16"/>
              </w:rPr>
              <w:t>Kitchen, Bakery &amp; Stewarding</w:t>
            </w:r>
          </w:p>
        </w:tc>
        <w:tc>
          <w:tcPr>
            <w:tcW w:type="dxa" w:w="4968"/>
            <w:vAlign w:val="top"/>
            <w:tcMar>
              <w:top w:w="90" w:type="dxa"/>
              <w:start w:w="110" w:type="dxa"/>
              <w:bottom w:w="90" w:type="dxa"/>
              <w:end w:w="110" w:type="dxa"/>
            </w:tcMar>
          </w:tcPr>
          <w:p>
            <w:pPr>
              <w:spacing w:after="40"/>
            </w:pPr>
            <w:r>
              <w:rPr>
                <w:rFonts w:ascii="Aptos" w:hAnsi="Aptos"/>
                <w:color w:val="1B2733"/>
                <w:sz w:val="16"/>
              </w:rPr>
              <w:t>Production stations, recipes, wastage, hygiene, wash-up</w:t>
            </w:r>
          </w:p>
        </w:tc>
        <w:tc>
          <w:tcPr>
            <w:tcW w:type="dxa" w:w="2304"/>
            <w:vAlign w:val="top"/>
            <w:tcMar>
              <w:top w:w="90" w:type="dxa"/>
              <w:start w:w="110" w:type="dxa"/>
              <w:bottom w:w="90" w:type="dxa"/>
              <w:end w:w="110" w:type="dxa"/>
            </w:tcMar>
          </w:tcPr>
          <w:p>
            <w:pPr>
              <w:spacing w:after="40"/>
            </w:pPr>
            <w:r>
              <w:rPr>
                <w:rFonts w:ascii="Aptos" w:hAnsi="Aptos"/>
                <w:color w:val="1B2733"/>
                <w:sz w:val="16"/>
              </w:rPr>
              <w:t>Prep/dispatch times; waste and safety evidence</w:t>
            </w:r>
          </w:p>
        </w:tc>
      </w:tr>
      <w:tr>
        <w:tc>
          <w:tcPr>
            <w:tcW w:type="dxa" w:w="2088"/>
            <w:vAlign w:val="top"/>
            <w:tcMar>
              <w:top w:w="90" w:type="dxa"/>
              <w:start w:w="110" w:type="dxa"/>
              <w:bottom w:w="90" w:type="dxa"/>
              <w:end w:w="110" w:type="dxa"/>
            </w:tcMar>
            <w:shd w:fill="F7F9FA"/>
          </w:tcPr>
          <w:p>
            <w:pPr>
              <w:spacing w:after="40"/>
            </w:pPr>
            <w:r>
              <w:rPr>
                <w:rFonts w:ascii="Aptos" w:hAnsi="Aptos"/>
                <w:color w:val="1B2733"/>
                <w:sz w:val="16"/>
              </w:rPr>
              <w:t>Banquets &amp; Events</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Enquiry, quotation, BEO, space, setup, consumption and billing</w:t>
            </w:r>
          </w:p>
        </w:tc>
        <w:tc>
          <w:tcPr>
            <w:tcW w:type="dxa" w:w="2304"/>
            <w:vAlign w:val="top"/>
            <w:tcMar>
              <w:top w:w="90" w:type="dxa"/>
              <w:start w:w="110" w:type="dxa"/>
              <w:bottom w:w="90" w:type="dxa"/>
              <w:end w:w="110" w:type="dxa"/>
            </w:tcMar>
            <w:shd w:fill="F7F9FA"/>
          </w:tcPr>
          <w:p>
            <w:pPr>
              <w:spacing w:after="40"/>
            </w:pPr>
            <w:r>
              <w:rPr>
                <w:rFonts w:ascii="Aptos" w:hAnsi="Aptos"/>
                <w:color w:val="1B2733"/>
                <w:sz w:val="16"/>
              </w:rPr>
              <w:t>Event profitability; change and handover log</w:t>
            </w:r>
          </w:p>
        </w:tc>
      </w:tr>
      <w:tr>
        <w:tc>
          <w:tcPr>
            <w:tcW w:type="dxa" w:w="2088"/>
            <w:vAlign w:val="top"/>
            <w:tcMar>
              <w:top w:w="90" w:type="dxa"/>
              <w:start w:w="110" w:type="dxa"/>
              <w:bottom w:w="90" w:type="dxa"/>
              <w:end w:w="110" w:type="dxa"/>
            </w:tcMar>
          </w:tcPr>
          <w:p>
            <w:pPr>
              <w:spacing w:after="40"/>
            </w:pPr>
            <w:r>
              <w:rPr>
                <w:rFonts w:ascii="Aptos" w:hAnsi="Aptos"/>
                <w:color w:val="1B2733"/>
                <w:sz w:val="16"/>
              </w:rPr>
              <w:t>Sales &amp; CRM</w:t>
            </w:r>
          </w:p>
        </w:tc>
        <w:tc>
          <w:tcPr>
            <w:tcW w:type="dxa" w:w="4968"/>
            <w:vAlign w:val="top"/>
            <w:tcMar>
              <w:top w:w="90" w:type="dxa"/>
              <w:start w:w="110" w:type="dxa"/>
              <w:bottom w:w="90" w:type="dxa"/>
              <w:end w:w="110" w:type="dxa"/>
            </w:tcMar>
          </w:tcPr>
          <w:p>
            <w:pPr>
              <w:spacing w:after="40"/>
            </w:pPr>
            <w:r>
              <w:rPr>
                <w:rFonts w:ascii="Aptos" w:hAnsi="Aptos"/>
                <w:color w:val="1B2733"/>
                <w:sz w:val="16"/>
              </w:rPr>
              <w:t>Accounts, leads, pipeline, contracts and activities</w:t>
            </w:r>
          </w:p>
        </w:tc>
        <w:tc>
          <w:tcPr>
            <w:tcW w:type="dxa" w:w="2304"/>
            <w:vAlign w:val="top"/>
            <w:tcMar>
              <w:top w:w="90" w:type="dxa"/>
              <w:start w:w="110" w:type="dxa"/>
              <w:bottom w:w="90" w:type="dxa"/>
              <w:end w:w="110" w:type="dxa"/>
            </w:tcMar>
          </w:tcPr>
          <w:p>
            <w:pPr>
              <w:spacing w:after="40"/>
            </w:pPr>
            <w:r>
              <w:rPr>
                <w:rFonts w:ascii="Aptos" w:hAnsi="Aptos"/>
                <w:color w:val="1B2733"/>
                <w:sz w:val="16"/>
              </w:rPr>
              <w:t>Conversion, production and account profitability</w:t>
            </w:r>
          </w:p>
        </w:tc>
      </w:tr>
      <w:tr>
        <w:tc>
          <w:tcPr>
            <w:tcW w:type="dxa" w:w="2088"/>
            <w:vAlign w:val="top"/>
            <w:tcMar>
              <w:top w:w="90" w:type="dxa"/>
              <w:start w:w="110" w:type="dxa"/>
              <w:bottom w:w="90" w:type="dxa"/>
              <w:end w:w="110" w:type="dxa"/>
            </w:tcMar>
            <w:shd w:fill="F7F9FA"/>
          </w:tcPr>
          <w:p>
            <w:pPr>
              <w:spacing w:after="40"/>
            </w:pPr>
            <w:r>
              <w:rPr>
                <w:rFonts w:ascii="Aptos" w:hAnsi="Aptos"/>
                <w:color w:val="1B2733"/>
                <w:sz w:val="16"/>
              </w:rPr>
              <w:t>Marketing &amp; E-commerce</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Content, campaigns, consent, ads, social and web demand</w:t>
            </w:r>
          </w:p>
        </w:tc>
        <w:tc>
          <w:tcPr>
            <w:tcW w:type="dxa" w:w="2304"/>
            <w:vAlign w:val="top"/>
            <w:tcMar>
              <w:top w:w="90" w:type="dxa"/>
              <w:start w:w="110" w:type="dxa"/>
              <w:bottom w:w="90" w:type="dxa"/>
              <w:end w:w="110" w:type="dxa"/>
            </w:tcMar>
            <w:shd w:fill="F7F9FA"/>
          </w:tcPr>
          <w:p>
            <w:pPr>
              <w:spacing w:after="40"/>
            </w:pPr>
            <w:r>
              <w:rPr>
                <w:rFonts w:ascii="Aptos" w:hAnsi="Aptos"/>
                <w:color w:val="1B2733"/>
                <w:sz w:val="16"/>
              </w:rPr>
              <w:t>Approved spend, attribution and direct-booking funnel</w:t>
            </w:r>
          </w:p>
        </w:tc>
      </w:tr>
      <w:tr>
        <w:tc>
          <w:tcPr>
            <w:tcW w:type="dxa" w:w="2088"/>
            <w:vAlign w:val="top"/>
            <w:tcMar>
              <w:top w:w="90" w:type="dxa"/>
              <w:start w:w="110" w:type="dxa"/>
              <w:bottom w:w="90" w:type="dxa"/>
              <w:end w:w="110" w:type="dxa"/>
            </w:tcMar>
          </w:tcPr>
          <w:p>
            <w:pPr>
              <w:spacing w:after="40"/>
            </w:pPr>
            <w:r>
              <w:rPr>
                <w:rFonts w:ascii="Aptos" w:hAnsi="Aptos"/>
                <w:color w:val="1B2733"/>
                <w:sz w:val="16"/>
              </w:rPr>
              <w:t>Guest Relations &amp; Concierge</w:t>
            </w:r>
          </w:p>
        </w:tc>
        <w:tc>
          <w:tcPr>
            <w:tcW w:type="dxa" w:w="4968"/>
            <w:vAlign w:val="top"/>
            <w:tcMar>
              <w:top w:w="90" w:type="dxa"/>
              <w:start w:w="110" w:type="dxa"/>
              <w:bottom w:w="90" w:type="dxa"/>
              <w:end w:w="110" w:type="dxa"/>
            </w:tcMar>
          </w:tcPr>
          <w:p>
            <w:pPr>
              <w:spacing w:after="40"/>
            </w:pPr>
            <w:r>
              <w:rPr>
                <w:rFonts w:ascii="Aptos" w:hAnsi="Aptos"/>
                <w:color w:val="1B2733"/>
                <w:sz w:val="16"/>
              </w:rPr>
              <w:t>Requests, preferences, recovery, transport and VIP journeys</w:t>
            </w:r>
          </w:p>
        </w:tc>
        <w:tc>
          <w:tcPr>
            <w:tcW w:type="dxa" w:w="2304"/>
            <w:vAlign w:val="top"/>
            <w:tcMar>
              <w:top w:w="90" w:type="dxa"/>
              <w:start w:w="110" w:type="dxa"/>
              <w:bottom w:w="90" w:type="dxa"/>
              <w:end w:w="110" w:type="dxa"/>
            </w:tcMar>
          </w:tcPr>
          <w:p>
            <w:pPr>
              <w:spacing w:after="40"/>
            </w:pPr>
            <w:r>
              <w:rPr>
                <w:rFonts w:ascii="Aptos" w:hAnsi="Aptos"/>
                <w:color w:val="1B2733"/>
                <w:sz w:val="16"/>
              </w:rPr>
              <w:t>Response time; recovery and satisfaction</w:t>
            </w:r>
          </w:p>
        </w:tc>
      </w:tr>
      <w:tr>
        <w:tc>
          <w:tcPr>
            <w:tcW w:type="dxa" w:w="2088"/>
            <w:vAlign w:val="top"/>
            <w:tcMar>
              <w:top w:w="90" w:type="dxa"/>
              <w:start w:w="110" w:type="dxa"/>
              <w:bottom w:w="90" w:type="dxa"/>
              <w:end w:w="110" w:type="dxa"/>
            </w:tcMar>
            <w:shd w:fill="F7F9FA"/>
          </w:tcPr>
          <w:p>
            <w:pPr>
              <w:spacing w:after="40"/>
            </w:pPr>
            <w:r>
              <w:rPr>
                <w:rFonts w:ascii="Aptos" w:hAnsi="Aptos"/>
                <w:color w:val="1B2733"/>
                <w:sz w:val="16"/>
              </w:rPr>
              <w:t>Revenue &amp; Distribution</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Rates, restrictions, inventory, channels, pace and forecast</w:t>
            </w:r>
          </w:p>
        </w:tc>
        <w:tc>
          <w:tcPr>
            <w:tcW w:type="dxa" w:w="2304"/>
            <w:vAlign w:val="top"/>
            <w:tcMar>
              <w:top w:w="90" w:type="dxa"/>
              <w:start w:w="110" w:type="dxa"/>
              <w:bottom w:w="90" w:type="dxa"/>
              <w:end w:w="110" w:type="dxa"/>
            </w:tcMar>
            <w:shd w:fill="F7F9FA"/>
          </w:tcPr>
          <w:p>
            <w:pPr>
              <w:spacing w:after="40"/>
            </w:pPr>
            <w:r>
              <w:rPr>
                <w:rFonts w:ascii="Aptos" w:hAnsi="Aptos"/>
                <w:color w:val="1B2733"/>
                <w:sz w:val="16"/>
              </w:rPr>
              <w:t>ADR, RevPAR, pickup, parity and sync health</w:t>
            </w:r>
          </w:p>
        </w:tc>
      </w:tr>
      <w:tr>
        <w:tc>
          <w:tcPr>
            <w:tcW w:type="dxa" w:w="2088"/>
            <w:vAlign w:val="top"/>
            <w:tcMar>
              <w:top w:w="90" w:type="dxa"/>
              <w:start w:w="110" w:type="dxa"/>
              <w:bottom w:w="90" w:type="dxa"/>
              <w:end w:w="110" w:type="dxa"/>
            </w:tcMar>
          </w:tcPr>
          <w:p>
            <w:pPr>
              <w:spacing w:after="40"/>
            </w:pPr>
            <w:r>
              <w:rPr>
                <w:rFonts w:ascii="Aptos" w:hAnsi="Aptos"/>
                <w:color w:val="1B2733"/>
                <w:sz w:val="16"/>
              </w:rPr>
              <w:t>Finance &amp; Night Audit</w:t>
            </w:r>
          </w:p>
        </w:tc>
        <w:tc>
          <w:tcPr>
            <w:tcW w:type="dxa" w:w="4968"/>
            <w:vAlign w:val="top"/>
            <w:tcMar>
              <w:top w:w="90" w:type="dxa"/>
              <w:start w:w="110" w:type="dxa"/>
              <w:bottom w:w="90" w:type="dxa"/>
              <w:end w:w="110" w:type="dxa"/>
            </w:tcMar>
          </w:tcPr>
          <w:p>
            <w:pPr>
              <w:spacing w:after="40"/>
            </w:pPr>
            <w:r>
              <w:rPr>
                <w:rFonts w:ascii="Aptos" w:hAnsi="Aptos"/>
                <w:color w:val="1B2733"/>
                <w:sz w:val="16"/>
              </w:rPr>
              <w:t>Posting, settlement, cash, journals, receivables and close</w:t>
            </w:r>
          </w:p>
        </w:tc>
        <w:tc>
          <w:tcPr>
            <w:tcW w:type="dxa" w:w="2304"/>
            <w:vAlign w:val="top"/>
            <w:tcMar>
              <w:top w:w="90" w:type="dxa"/>
              <w:start w:w="110" w:type="dxa"/>
              <w:bottom w:w="90" w:type="dxa"/>
              <w:end w:w="110" w:type="dxa"/>
            </w:tcMar>
          </w:tcPr>
          <w:p>
            <w:pPr>
              <w:spacing w:after="40"/>
            </w:pPr>
            <w:r>
              <w:rPr>
                <w:rFonts w:ascii="Aptos" w:hAnsi="Aptos"/>
                <w:color w:val="1B2733"/>
                <w:sz w:val="16"/>
              </w:rPr>
              <w:t>Balanced journals; cash and interface reconciliation</w:t>
            </w:r>
          </w:p>
        </w:tc>
      </w:tr>
      <w:tr>
        <w:tc>
          <w:tcPr>
            <w:tcW w:type="dxa" w:w="2088"/>
            <w:vAlign w:val="top"/>
            <w:tcMar>
              <w:top w:w="90" w:type="dxa"/>
              <w:start w:w="110" w:type="dxa"/>
              <w:bottom w:w="90" w:type="dxa"/>
              <w:end w:w="110" w:type="dxa"/>
            </w:tcMar>
            <w:shd w:fill="F7F9FA"/>
          </w:tcPr>
          <w:p>
            <w:pPr>
              <w:spacing w:after="40"/>
            </w:pPr>
            <w:r>
              <w:rPr>
                <w:rFonts w:ascii="Aptos" w:hAnsi="Aptos"/>
                <w:color w:val="1B2733"/>
                <w:sz w:val="16"/>
              </w:rPr>
              <w:t>Procurement &amp; Stores</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Requisition, quotes, purchase, receipt, issue and stock count</w:t>
            </w:r>
          </w:p>
        </w:tc>
        <w:tc>
          <w:tcPr>
            <w:tcW w:type="dxa" w:w="2304"/>
            <w:vAlign w:val="top"/>
            <w:tcMar>
              <w:top w:w="90" w:type="dxa"/>
              <w:start w:w="110" w:type="dxa"/>
              <w:bottom w:w="90" w:type="dxa"/>
              <w:end w:w="110" w:type="dxa"/>
            </w:tcMar>
            <w:shd w:fill="F7F9FA"/>
          </w:tcPr>
          <w:p>
            <w:pPr>
              <w:spacing w:after="40"/>
            </w:pPr>
            <w:r>
              <w:rPr>
                <w:rFonts w:ascii="Aptos" w:hAnsi="Aptos"/>
                <w:color w:val="1B2733"/>
                <w:sz w:val="16"/>
              </w:rPr>
              <w:t>Three-way match; stock and supplier variance</w:t>
            </w:r>
          </w:p>
        </w:tc>
      </w:tr>
      <w:tr>
        <w:tc>
          <w:tcPr>
            <w:tcW w:type="dxa" w:w="2088"/>
            <w:vAlign w:val="top"/>
            <w:tcMar>
              <w:top w:w="90" w:type="dxa"/>
              <w:start w:w="110" w:type="dxa"/>
              <w:bottom w:w="90" w:type="dxa"/>
              <w:end w:w="110" w:type="dxa"/>
            </w:tcMar>
          </w:tcPr>
          <w:p>
            <w:pPr>
              <w:spacing w:after="40"/>
            </w:pPr>
            <w:r>
              <w:rPr>
                <w:rFonts w:ascii="Aptos" w:hAnsi="Aptos"/>
                <w:color w:val="1B2733"/>
                <w:sz w:val="16"/>
              </w:rPr>
              <w:t>Engineering &amp; Maintenance</w:t>
            </w:r>
          </w:p>
        </w:tc>
        <w:tc>
          <w:tcPr>
            <w:tcW w:type="dxa" w:w="4968"/>
            <w:vAlign w:val="top"/>
            <w:tcMar>
              <w:top w:w="90" w:type="dxa"/>
              <w:start w:w="110" w:type="dxa"/>
              <w:bottom w:w="90" w:type="dxa"/>
              <w:end w:w="110" w:type="dxa"/>
            </w:tcMar>
          </w:tcPr>
          <w:p>
            <w:pPr>
              <w:spacing w:after="40"/>
            </w:pPr>
            <w:r>
              <w:rPr>
                <w:rFonts w:ascii="Aptos" w:hAnsi="Aptos"/>
                <w:color w:val="1B2733"/>
                <w:sz w:val="16"/>
              </w:rPr>
              <w:t>Assets, preventive work, defects, utilities and projects</w:t>
            </w:r>
          </w:p>
        </w:tc>
        <w:tc>
          <w:tcPr>
            <w:tcW w:type="dxa" w:w="2304"/>
            <w:vAlign w:val="top"/>
            <w:tcMar>
              <w:top w:w="90" w:type="dxa"/>
              <w:start w:w="110" w:type="dxa"/>
              <w:bottom w:w="90" w:type="dxa"/>
              <w:end w:w="110" w:type="dxa"/>
            </w:tcMar>
          </w:tcPr>
          <w:p>
            <w:pPr>
              <w:spacing w:after="40"/>
            </w:pPr>
            <w:r>
              <w:rPr>
                <w:rFonts w:ascii="Aptos" w:hAnsi="Aptos"/>
                <w:color w:val="1B2733"/>
                <w:sz w:val="16"/>
              </w:rPr>
              <w:t>Uptime; response, energy and recurring faults</w:t>
            </w:r>
          </w:p>
        </w:tc>
      </w:tr>
      <w:tr>
        <w:tc>
          <w:tcPr>
            <w:tcW w:type="dxa" w:w="2088"/>
            <w:vAlign w:val="top"/>
            <w:tcMar>
              <w:top w:w="90" w:type="dxa"/>
              <w:start w:w="110" w:type="dxa"/>
              <w:bottom w:w="90" w:type="dxa"/>
              <w:end w:w="110" w:type="dxa"/>
            </w:tcMar>
            <w:shd w:fill="F7F9FA"/>
          </w:tcPr>
          <w:p>
            <w:pPr>
              <w:spacing w:after="40"/>
            </w:pPr>
            <w:r>
              <w:rPr>
                <w:rFonts w:ascii="Aptos" w:hAnsi="Aptos"/>
                <w:color w:val="1B2733"/>
                <w:sz w:val="16"/>
              </w:rPr>
              <w:t>Security, Safety &amp; Loss Prevention</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Patrols, incidents, access, keys and emergency readiness</w:t>
            </w:r>
          </w:p>
        </w:tc>
        <w:tc>
          <w:tcPr>
            <w:tcW w:type="dxa" w:w="2304"/>
            <w:vAlign w:val="top"/>
            <w:tcMar>
              <w:top w:w="90" w:type="dxa"/>
              <w:start w:w="110" w:type="dxa"/>
              <w:bottom w:w="90" w:type="dxa"/>
              <w:end w:w="110" w:type="dxa"/>
            </w:tcMar>
            <w:shd w:fill="F7F9FA"/>
          </w:tcPr>
          <w:p>
            <w:pPr>
              <w:spacing w:after="40"/>
            </w:pPr>
            <w:r>
              <w:rPr>
                <w:rFonts w:ascii="Aptos" w:hAnsi="Aptos"/>
                <w:color w:val="1B2733"/>
                <w:sz w:val="16"/>
              </w:rPr>
              <w:t>Incident chain; patrol and corrective-action evidence</w:t>
            </w:r>
          </w:p>
        </w:tc>
      </w:tr>
      <w:tr>
        <w:tc>
          <w:tcPr>
            <w:tcW w:type="dxa" w:w="2088"/>
            <w:vAlign w:val="top"/>
            <w:tcMar>
              <w:top w:w="90" w:type="dxa"/>
              <w:start w:w="110" w:type="dxa"/>
              <w:bottom w:w="90" w:type="dxa"/>
              <w:end w:w="110" w:type="dxa"/>
            </w:tcMar>
          </w:tcPr>
          <w:p>
            <w:pPr>
              <w:spacing w:after="40"/>
            </w:pPr>
            <w:r>
              <w:rPr>
                <w:rFonts w:ascii="Aptos" w:hAnsi="Aptos"/>
                <w:color w:val="1B2733"/>
                <w:sz w:val="16"/>
              </w:rPr>
              <w:t>ICT &amp; Cybersecurity</w:t>
            </w:r>
          </w:p>
        </w:tc>
        <w:tc>
          <w:tcPr>
            <w:tcW w:type="dxa" w:w="4968"/>
            <w:vAlign w:val="top"/>
            <w:tcMar>
              <w:top w:w="90" w:type="dxa"/>
              <w:start w:w="110" w:type="dxa"/>
              <w:bottom w:w="90" w:type="dxa"/>
              <w:end w:w="110" w:type="dxa"/>
            </w:tcMar>
          </w:tcPr>
          <w:p>
            <w:pPr>
              <w:spacing w:after="40"/>
            </w:pPr>
            <w:r>
              <w:rPr>
                <w:rFonts w:ascii="Aptos" w:hAnsi="Aptos"/>
                <w:color w:val="1B2733"/>
                <w:sz w:val="16"/>
              </w:rPr>
              <w:t>Service desk, devices, identities, backups, vulnerabilities and changes</w:t>
            </w:r>
          </w:p>
        </w:tc>
        <w:tc>
          <w:tcPr>
            <w:tcW w:type="dxa" w:w="2304"/>
            <w:vAlign w:val="top"/>
            <w:tcMar>
              <w:top w:w="90" w:type="dxa"/>
              <w:start w:w="110" w:type="dxa"/>
              <w:bottom w:w="90" w:type="dxa"/>
              <w:end w:w="110" w:type="dxa"/>
            </w:tcMar>
          </w:tcPr>
          <w:p>
            <w:pPr>
              <w:spacing w:after="40"/>
            </w:pPr>
            <w:r>
              <w:rPr>
                <w:rFonts w:ascii="Aptos" w:hAnsi="Aptos"/>
                <w:color w:val="1B2733"/>
                <w:sz w:val="16"/>
              </w:rPr>
              <w:t>Availability, restore proof and risk closure</w:t>
            </w:r>
          </w:p>
        </w:tc>
      </w:tr>
      <w:tr>
        <w:tc>
          <w:tcPr>
            <w:tcW w:type="dxa" w:w="2088"/>
            <w:vAlign w:val="top"/>
            <w:tcMar>
              <w:top w:w="90" w:type="dxa"/>
              <w:start w:w="110" w:type="dxa"/>
              <w:bottom w:w="90" w:type="dxa"/>
              <w:end w:w="110" w:type="dxa"/>
            </w:tcMar>
            <w:shd w:fill="F7F9FA"/>
          </w:tcPr>
          <w:p>
            <w:pPr>
              <w:spacing w:after="40"/>
            </w:pPr>
            <w:r>
              <w:rPr>
                <w:rFonts w:ascii="Aptos" w:hAnsi="Aptos"/>
                <w:color w:val="1B2733"/>
                <w:sz w:val="16"/>
              </w:rPr>
              <w:t>Human Resources</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People records, attendance, shifts, leave, training and performance</w:t>
            </w:r>
          </w:p>
        </w:tc>
        <w:tc>
          <w:tcPr>
            <w:tcW w:type="dxa" w:w="2304"/>
            <w:vAlign w:val="top"/>
            <w:tcMar>
              <w:top w:w="90" w:type="dxa"/>
              <w:start w:w="110" w:type="dxa"/>
              <w:bottom w:w="90" w:type="dxa"/>
              <w:end w:w="110" w:type="dxa"/>
            </w:tcMar>
            <w:shd w:fill="F7F9FA"/>
          </w:tcPr>
          <w:p>
            <w:pPr>
              <w:spacing w:after="40"/>
            </w:pPr>
            <w:r>
              <w:rPr>
                <w:rFonts w:ascii="Aptos" w:hAnsi="Aptos"/>
                <w:color w:val="1B2733"/>
                <w:sz w:val="16"/>
              </w:rPr>
              <w:t>Roster, payroll input and competency evidence</w:t>
            </w:r>
          </w:p>
        </w:tc>
      </w:tr>
      <w:tr>
        <w:tc>
          <w:tcPr>
            <w:tcW w:type="dxa" w:w="2088"/>
            <w:vAlign w:val="top"/>
            <w:tcMar>
              <w:top w:w="90" w:type="dxa"/>
              <w:start w:w="110" w:type="dxa"/>
              <w:bottom w:w="90" w:type="dxa"/>
              <w:end w:w="110" w:type="dxa"/>
            </w:tcMar>
          </w:tcPr>
          <w:p>
            <w:pPr>
              <w:spacing w:after="40"/>
            </w:pPr>
            <w:r>
              <w:rPr>
                <w:rFonts w:ascii="Aptos" w:hAnsi="Aptos"/>
                <w:color w:val="1B2733"/>
                <w:sz w:val="16"/>
              </w:rPr>
              <w:t>Transport &amp; Fleet</w:t>
            </w:r>
          </w:p>
        </w:tc>
        <w:tc>
          <w:tcPr>
            <w:tcW w:type="dxa" w:w="4968"/>
            <w:vAlign w:val="top"/>
            <w:tcMar>
              <w:top w:w="90" w:type="dxa"/>
              <w:start w:w="110" w:type="dxa"/>
              <w:bottom w:w="90" w:type="dxa"/>
              <w:end w:w="110" w:type="dxa"/>
            </w:tcMar>
          </w:tcPr>
          <w:p>
            <w:pPr>
              <w:spacing w:after="40"/>
            </w:pPr>
            <w:r>
              <w:rPr>
                <w:rFonts w:ascii="Aptos" w:hAnsi="Aptos"/>
                <w:color w:val="1B2733"/>
                <w:sz w:val="16"/>
              </w:rPr>
              <w:t>Airport transfers, dispatch, cars, bikes, fuel and maintenance</w:t>
            </w:r>
          </w:p>
        </w:tc>
        <w:tc>
          <w:tcPr>
            <w:tcW w:type="dxa" w:w="2304"/>
            <w:vAlign w:val="top"/>
            <w:tcMar>
              <w:top w:w="90" w:type="dxa"/>
              <w:start w:w="110" w:type="dxa"/>
              <w:bottom w:w="90" w:type="dxa"/>
              <w:end w:w="110" w:type="dxa"/>
            </w:tcMar>
          </w:tcPr>
          <w:p>
            <w:pPr>
              <w:spacing w:after="40"/>
            </w:pPr>
            <w:r>
              <w:rPr>
                <w:rFonts w:ascii="Aptos" w:hAnsi="Aptos"/>
                <w:color w:val="1B2733"/>
                <w:sz w:val="16"/>
              </w:rPr>
              <w:t>Trip proof; utilisation, fuel and safety exceptions</w:t>
            </w:r>
          </w:p>
        </w:tc>
      </w:tr>
      <w:tr>
        <w:tc>
          <w:tcPr>
            <w:tcW w:type="dxa" w:w="2088"/>
            <w:vAlign w:val="top"/>
            <w:tcMar>
              <w:top w:w="90" w:type="dxa"/>
              <w:start w:w="110" w:type="dxa"/>
              <w:bottom w:w="90" w:type="dxa"/>
              <w:end w:w="110" w:type="dxa"/>
            </w:tcMar>
            <w:shd w:fill="F7F9FA"/>
          </w:tcPr>
          <w:p>
            <w:pPr>
              <w:spacing w:after="40"/>
            </w:pPr>
            <w:r>
              <w:rPr>
                <w:rFonts w:ascii="Aptos" w:hAnsi="Aptos"/>
                <w:color w:val="1B2733"/>
                <w:sz w:val="16"/>
              </w:rPr>
              <w:t>Recreation, Pool, Gym &amp; Spa</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Bookings, capacity, hygiene, waivers and guest service</w:t>
            </w:r>
          </w:p>
        </w:tc>
        <w:tc>
          <w:tcPr>
            <w:tcW w:type="dxa" w:w="2304"/>
            <w:vAlign w:val="top"/>
            <w:tcMar>
              <w:top w:w="90" w:type="dxa"/>
              <w:start w:w="110" w:type="dxa"/>
              <w:bottom w:w="90" w:type="dxa"/>
              <w:end w:w="110" w:type="dxa"/>
            </w:tcMar>
            <w:shd w:fill="F7F9FA"/>
          </w:tcPr>
          <w:p>
            <w:pPr>
              <w:spacing w:after="40"/>
            </w:pPr>
            <w:r>
              <w:rPr>
                <w:rFonts w:ascii="Aptos" w:hAnsi="Aptos"/>
                <w:color w:val="1B2733"/>
                <w:sz w:val="16"/>
              </w:rPr>
              <w:t>Utilisation, safety checks and revenue</w:t>
            </w:r>
          </w:p>
        </w:tc>
      </w:tr>
      <w:tr>
        <w:tc>
          <w:tcPr>
            <w:tcW w:type="dxa" w:w="2088"/>
            <w:vAlign w:val="top"/>
            <w:tcMar>
              <w:top w:w="90" w:type="dxa"/>
              <w:start w:w="110" w:type="dxa"/>
              <w:bottom w:w="90" w:type="dxa"/>
              <w:end w:w="110" w:type="dxa"/>
            </w:tcMar>
          </w:tcPr>
          <w:p>
            <w:pPr>
              <w:spacing w:after="40"/>
            </w:pPr>
            <w:r>
              <w:rPr>
                <w:rFonts w:ascii="Aptos" w:hAnsi="Aptos"/>
                <w:color w:val="1B2733"/>
                <w:sz w:val="16"/>
              </w:rPr>
              <w:t>Legal, Privacy &amp; Compliance</w:t>
            </w:r>
          </w:p>
        </w:tc>
        <w:tc>
          <w:tcPr>
            <w:tcW w:type="dxa" w:w="4968"/>
            <w:vAlign w:val="top"/>
            <w:tcMar>
              <w:top w:w="90" w:type="dxa"/>
              <w:start w:w="110" w:type="dxa"/>
              <w:bottom w:w="90" w:type="dxa"/>
              <w:end w:w="110" w:type="dxa"/>
            </w:tcMar>
          </w:tcPr>
          <w:p>
            <w:pPr>
              <w:spacing w:after="40"/>
            </w:pPr>
            <w:r>
              <w:rPr>
                <w:rFonts w:ascii="Aptos" w:hAnsi="Aptos"/>
                <w:color w:val="1B2733"/>
                <w:sz w:val="16"/>
              </w:rPr>
              <w:t>Contracts, data rights, retention, incidents and obligations</w:t>
            </w:r>
          </w:p>
        </w:tc>
        <w:tc>
          <w:tcPr>
            <w:tcW w:type="dxa" w:w="2304"/>
            <w:vAlign w:val="top"/>
            <w:tcMar>
              <w:top w:w="90" w:type="dxa"/>
              <w:start w:w="110" w:type="dxa"/>
              <w:bottom w:w="90" w:type="dxa"/>
              <w:end w:w="110" w:type="dxa"/>
            </w:tcMar>
          </w:tcPr>
          <w:p>
            <w:pPr>
              <w:spacing w:after="40"/>
            </w:pPr>
            <w:r>
              <w:rPr>
                <w:rFonts w:ascii="Aptos" w:hAnsi="Aptos"/>
                <w:color w:val="1B2733"/>
                <w:sz w:val="16"/>
              </w:rPr>
              <w:t>Approval, breach and compliance register</w:t>
            </w:r>
          </w:p>
        </w:tc>
      </w:tr>
      <w:tr>
        <w:tc>
          <w:tcPr>
            <w:tcW w:type="dxa" w:w="2088"/>
            <w:vAlign w:val="top"/>
            <w:tcMar>
              <w:top w:w="90" w:type="dxa"/>
              <w:start w:w="110" w:type="dxa"/>
              <w:bottom w:w="90" w:type="dxa"/>
              <w:end w:w="110" w:type="dxa"/>
            </w:tcMar>
            <w:shd w:fill="F7F9FA"/>
          </w:tcPr>
          <w:p>
            <w:pPr>
              <w:spacing w:after="40"/>
            </w:pPr>
            <w:r>
              <w:rPr>
                <w:rFonts w:ascii="Aptos" w:hAnsi="Aptos"/>
                <w:color w:val="1B2733"/>
                <w:sz w:val="16"/>
              </w:rPr>
              <w:t>Quality &amp; Sustainability</w:t>
            </w:r>
          </w:p>
        </w:tc>
        <w:tc>
          <w:tcPr>
            <w:tcW w:type="dxa" w:w="4968"/>
            <w:vAlign w:val="top"/>
            <w:tcMar>
              <w:top w:w="90" w:type="dxa"/>
              <w:start w:w="110" w:type="dxa"/>
              <w:bottom w:w="90" w:type="dxa"/>
              <w:end w:w="110" w:type="dxa"/>
            </w:tcMar>
            <w:shd w:fill="F7F9FA"/>
          </w:tcPr>
          <w:p>
            <w:pPr>
              <w:spacing w:after="40"/>
            </w:pPr>
            <w:r>
              <w:rPr>
                <w:rFonts w:ascii="Aptos" w:hAnsi="Aptos"/>
                <w:color w:val="1B2733"/>
                <w:sz w:val="16"/>
              </w:rPr>
              <w:t>Audits, standards, complaints, energy, water and waste</w:t>
            </w:r>
          </w:p>
        </w:tc>
        <w:tc>
          <w:tcPr>
            <w:tcW w:type="dxa" w:w="2304"/>
            <w:vAlign w:val="top"/>
            <w:tcMar>
              <w:top w:w="90" w:type="dxa"/>
              <w:start w:w="110" w:type="dxa"/>
              <w:bottom w:w="90" w:type="dxa"/>
              <w:end w:w="110" w:type="dxa"/>
            </w:tcMar>
            <w:shd w:fill="F7F9FA"/>
          </w:tcPr>
          <w:p>
            <w:pPr>
              <w:spacing w:after="40"/>
            </w:pPr>
            <w:r>
              <w:rPr>
                <w:rFonts w:ascii="Aptos" w:hAnsi="Aptos"/>
                <w:color w:val="1B2733"/>
                <w:sz w:val="16"/>
              </w:rPr>
              <w:t>CAPA closure and verified sustainability metrics</w:t>
            </w:r>
          </w:p>
        </w:tc>
      </w:tr>
    </w:tbl>
    <w:p>
      <w:r>
        <w:br w:type="page"/>
      </w:r>
    </w:p>
    <w:p>
      <w:pPr>
        <w:pStyle w:val="Heading2"/>
      </w:pPr>
      <w:r>
        <w:t>37.4 Distribution, booking and revenue controls</w:t>
      </w:r>
    </w:p>
    <w:p>
      <w:pPr>
        <w:pStyle w:val="ListNumber"/>
        <w:spacing w:after="60" w:line="250" w:lineRule="auto"/>
      </w:pPr>
      <w:r>
        <w:t>Maintain one canonical room type, rate plan, restriction and dated inventory record for each property and record mode.</w:t>
      </w:r>
    </w:p>
    <w:p>
      <w:pPr>
        <w:pStyle w:val="ListNumber"/>
        <w:spacing w:after="60" w:line="250" w:lineRule="auto"/>
      </w:pPr>
      <w:r>
        <w:t>Map every external room/rate identifier explicitly; unmapped or ambiguous records enter a human exception queue.</w:t>
      </w:r>
    </w:p>
    <w:p>
      <w:pPr>
        <w:pStyle w:val="ListNumber"/>
        <w:spacing w:after="60" w:line="250" w:lineRule="auto"/>
      </w:pPr>
      <w:r>
        <w:t>Create holds and confirmed reservations against dated inventory using atomic capacity checks; release or conversion creates immutable allocation events.</w:t>
      </w:r>
    </w:p>
    <w:p>
      <w:pPr>
        <w:pStyle w:val="ListNumber"/>
        <w:spacing w:after="60" w:line="250" w:lineRule="auto"/>
      </w:pPr>
      <w:r>
        <w:t>Publish rates or availability only in operational mode after a separate decision maker approves the exact source hash.</w:t>
      </w:r>
    </w:p>
    <w:p>
      <w:pPr>
        <w:pStyle w:val="ListNumber"/>
        <w:spacing w:after="60" w:line="250" w:lineRule="auto"/>
      </w:pPr>
      <w:r>
        <w:t>Persist provider acknowledgement, retry state, reconciliation outcome and the last known trustworthy source timestamp.</w:t>
      </w:r>
    </w:p>
    <w:p>
      <w:pPr>
        <w:pStyle w:val="ListNumber"/>
        <w:spacing w:after="60" w:line="250" w:lineRule="auto"/>
      </w:pPr>
      <w:r>
        <w:t>Calculate occupancy as sold room nights divided by available room nights, ADR as recognised room revenue divided by sold room nights, and RevPAR as recognised room revenue divided by available room nights; disclose zero denominators and reconciliation state.</w:t>
      </w:r>
    </w:p>
    <w:tbl>
      <w:tblPr>
        <w:tblW w:type="dxa" w:w="9360"/>
        <w:jc w:val="left"/>
        <w:tblLayout w:type="fixed"/>
        <w:tblLook w:firstColumn="1" w:firstRow="1" w:lastColumn="0" w:lastRow="0" w:noHBand="0" w:noVBand="1" w:val="04A0"/>
        <w:tblInd w:type="dxa" w:w="180"/>
      </w:tblPr>
      <w:tblGrid>
        <w:gridCol w:w="9360"/>
      </w:tblGrid>
      <w:tr>
        <w:trPr>
          <w:tblHeader w:val="true"/>
        </w:trPr>
        <w:tc>
          <w:tcPr>
            <w:tcW w:type="dxa" w:w="9360"/>
            <w:shd w:fill="EDF3F7"/>
            <w:tcMar>
              <w:top w:w="160" w:type="dxa"/>
              <w:start w:w="180" w:type="dxa"/>
              <w:bottom w:w="160" w:type="dxa"/>
              <w:end w:w="180" w:type="dxa"/>
            </w:tcMar>
          </w:tcPr>
          <w:p>
            <w:pPr>
              <w:spacing w:after="0"/>
            </w:pPr>
            <w:r>
              <w:rPr>
                <w:rFonts w:ascii="Aptos Display" w:hAnsi="Aptos Display"/>
                <w:b/>
                <w:color w:val="147D75"/>
                <w:sz w:val="18"/>
              </w:rPr>
              <w:t xml:space="preserve">NO ABSOLUTE GUARANTEE  </w:t>
            </w:r>
            <w:r>
              <w:rPr>
                <w:rFonts w:ascii="Aptos" w:hAnsi="Aptos"/>
                <w:color w:val="1B2733"/>
                <w:sz w:val="18"/>
              </w:rPr>
              <w:t>The architecture is designed to prevent avoidable overbooking. It must not promise that overbooking can never occur: provider latency, manual channel changes, outages and contract limitations require monitoring, safety stock and documented recovery procedures.</w:t>
            </w:r>
          </w:p>
        </w:tc>
      </w:tr>
    </w:tbl>
    <w:p>
      <w:pPr>
        <w:pStyle w:val="Heading2"/>
      </w:pPr>
      <w:r>
        <w:t>37.5 Public hotel experience and direct commerce</w:t>
      </w:r>
    </w:p>
    <w:p>
      <w:pPr>
        <w:pStyle w:val="ListBullet"/>
        <w:spacing w:after="60" w:line="250" w:lineRule="auto"/>
      </w:pPr>
      <w:r>
        <w:t>A responsive, accessible hotel website with accommodation, dining, events, location, about, contact, policies and an editorial departmental blog.</w:t>
      </w:r>
    </w:p>
    <w:p>
      <w:pPr>
        <w:pStyle w:val="ListBullet"/>
        <w:spacing w:after="60" w:line="250" w:lineRule="auto"/>
      </w:pPr>
      <w:r>
        <w:t>A branded direct-booking journey with live-source labels, date and party validation, room terms, taxes/fees, cancellation rules, booking hold and controlled payment handoff.</w:t>
      </w:r>
    </w:p>
    <w:p>
      <w:pPr>
        <w:pStyle w:val="ListBullet"/>
        <w:spacing w:after="60" w:line="250" w:lineRule="auto"/>
      </w:pPr>
      <w:r>
        <w:t>A restaurant and bar catalogue with server-owned prices, modifiers, cart, checkout, room service, pickup, external delivery, order tracking and car/bike dispatch.</w:t>
      </w:r>
    </w:p>
    <w:p>
      <w:pPr>
        <w:pStyle w:val="ListBullet"/>
        <w:spacing w:after="60" w:line="250" w:lineRule="auto"/>
      </w:pPr>
      <w:r>
        <w:t>Search metadata, structured data, sitemap and robots controls; indexing remains disabled until the public domain, content and legal notices pass launch review.</w:t>
      </w:r>
    </w:p>
    <w:p>
      <w:pPr>
        <w:pStyle w:val="ListBullet"/>
        <w:spacing w:after="60" w:line="250" w:lineRule="auto"/>
      </w:pPr>
      <w:r>
        <w:t>GA4 measurement ID G-CLFV1L0KVJ is confirmed for rihuum.tech only. GA4 for rihuum.com and rihuum.net, GTM, Search Console values, AdSense publisher/seller data and Maps API/Place ID remain manual activation inputs. Tags or ads load only after valid identifiers, consent/privacy review and production tests.</w:t>
      </w:r>
    </w:p>
    <w:p>
      <w:pPr>
        <w:pStyle w:val="ListBullet"/>
        <w:spacing w:after="60" w:line="250" w:lineRule="auto"/>
      </w:pPr>
      <w:r>
        <w:t>Sandralia public claims use the property’s official source. The current official site describes a four-star property; RAHIS may promise five-star digital experience quality but must not alter the hotel’s formal rating.</w:t>
      </w:r>
    </w:p>
    <w:p>
      <w:pPr>
        <w:pStyle w:val="Heading2"/>
      </w:pPr>
      <w:r>
        <w:t>37.6 Unified communications and reputation</w:t>
      </w:r>
    </w:p>
    <w:tbl>
      <w:tblPr>
        <w:tblStyle w:val="TableGrid"/>
        <w:tblW w:type="dxa" w:w="9360"/>
        <w:jc w:val="left"/>
        <w:tblLayout w:type="fixed"/>
        <w:tblLook w:firstColumn="1" w:firstRow="1" w:lastColumn="0" w:lastRow="0" w:noHBand="0" w:noVBand="1" w:val="04A0"/>
        <w:tblInd w:type="dxa" w:w="110"/>
      </w:tblPr>
      <w:tblGrid>
        <w:gridCol w:w="1800"/>
        <w:gridCol w:w="3816"/>
        <w:gridCol w:w="3744"/>
      </w:tblGrid>
      <w:tr>
        <w:trPr>
          <w:tblHeader w:val="true"/>
        </w:trPr>
        <w:tc>
          <w:tcPr>
            <w:tcW w:type="dxa" w:w="1800"/>
            <w:vAlign w:val="center"/>
            <w:shd w:fill="10263B"/>
            <w:tcMar>
              <w:top w:w="90" w:type="dxa"/>
              <w:start w:w="110" w:type="dxa"/>
              <w:bottom w:w="90" w:type="dxa"/>
              <w:end w:w="110" w:type="dxa"/>
            </w:tcMar>
          </w:tcPr>
          <w:p>
            <w:r>
              <w:rPr>
                <w:rFonts w:ascii="Aptos" w:hAnsi="Aptos"/>
                <w:b/>
                <w:color w:val="FFFFFF"/>
                <w:sz w:val="17"/>
              </w:rPr>
              <w:t>Workflow</w:t>
            </w:r>
          </w:p>
        </w:tc>
        <w:tc>
          <w:tcPr>
            <w:tcW w:type="dxa" w:w="3816"/>
            <w:vAlign w:val="center"/>
            <w:shd w:fill="10263B"/>
            <w:tcMar>
              <w:top w:w="90" w:type="dxa"/>
              <w:start w:w="110" w:type="dxa"/>
              <w:bottom w:w="90" w:type="dxa"/>
              <w:end w:w="110" w:type="dxa"/>
            </w:tcMar>
          </w:tcPr>
          <w:p>
            <w:r>
              <w:rPr>
                <w:rFonts w:ascii="Aptos" w:hAnsi="Aptos"/>
                <w:b/>
                <w:color w:val="FFFFFF"/>
                <w:sz w:val="17"/>
              </w:rPr>
              <w:t>AI assistance</w:t>
            </w:r>
          </w:p>
        </w:tc>
        <w:tc>
          <w:tcPr>
            <w:tcW w:type="dxa" w:w="3744"/>
            <w:vAlign w:val="center"/>
            <w:shd w:fill="10263B"/>
            <w:tcMar>
              <w:top w:w="90" w:type="dxa"/>
              <w:start w:w="110" w:type="dxa"/>
              <w:bottom w:w="90" w:type="dxa"/>
              <w:end w:w="110" w:type="dxa"/>
            </w:tcMar>
          </w:tcPr>
          <w:p>
            <w:r>
              <w:rPr>
                <w:rFonts w:ascii="Aptos" w:hAnsi="Aptos"/>
                <w:b/>
                <w:color w:val="FFFFFF"/>
                <w:sz w:val="17"/>
              </w:rPr>
              <w:t>Human and system control</w:t>
            </w:r>
          </w:p>
        </w:tc>
      </w:tr>
      <w:tr>
        <w:tc>
          <w:tcPr>
            <w:tcW w:type="dxa" w:w="1800"/>
            <w:vAlign w:val="top"/>
            <w:tcMar>
              <w:top w:w="90" w:type="dxa"/>
              <w:start w:w="110" w:type="dxa"/>
              <w:bottom w:w="90" w:type="dxa"/>
              <w:end w:w="110" w:type="dxa"/>
            </w:tcMar>
          </w:tcPr>
          <w:p>
            <w:pPr>
              <w:spacing w:after="40"/>
            </w:pPr>
            <w:r>
              <w:rPr>
                <w:rFonts w:ascii="Aptos" w:hAnsi="Aptos"/>
                <w:color w:val="1B2733"/>
                <w:sz w:val="16"/>
              </w:rPr>
              <w:t>Unified inbox</w:t>
            </w:r>
          </w:p>
        </w:tc>
        <w:tc>
          <w:tcPr>
            <w:tcW w:type="dxa" w:w="3816"/>
            <w:vAlign w:val="top"/>
            <w:tcMar>
              <w:top w:w="90" w:type="dxa"/>
              <w:start w:w="110" w:type="dxa"/>
              <w:bottom w:w="90" w:type="dxa"/>
              <w:end w:w="110" w:type="dxa"/>
            </w:tcMar>
          </w:tcPr>
          <w:p>
            <w:pPr>
              <w:spacing w:after="40"/>
            </w:pPr>
            <w:r>
              <w:rPr>
                <w:rFonts w:ascii="Aptos" w:hAnsi="Aptos"/>
                <w:color w:val="1B2733"/>
                <w:sz w:val="16"/>
              </w:rPr>
              <w:t>Summarise threads, detect intent and draft replies</w:t>
            </w:r>
          </w:p>
        </w:tc>
        <w:tc>
          <w:tcPr>
            <w:tcW w:type="dxa" w:w="3744"/>
            <w:vAlign w:val="top"/>
            <w:tcMar>
              <w:top w:w="90" w:type="dxa"/>
              <w:start w:w="110" w:type="dxa"/>
              <w:bottom w:w="90" w:type="dxa"/>
              <w:end w:w="110" w:type="dxa"/>
            </w:tcMar>
          </w:tcPr>
          <w:p>
            <w:pPr>
              <w:spacing w:after="40"/>
            </w:pPr>
            <w:r>
              <w:rPr>
                <w:rFonts w:ascii="Aptos" w:hAnsi="Aptos"/>
                <w:color w:val="1B2733"/>
                <w:sz w:val="16"/>
              </w:rPr>
              <w:t>Reservation context, property scope, source language and immutable messages</w:t>
            </w:r>
          </w:p>
        </w:tc>
      </w:tr>
      <w:tr>
        <w:tc>
          <w:tcPr>
            <w:tcW w:type="dxa" w:w="1800"/>
            <w:vAlign w:val="top"/>
            <w:tcMar>
              <w:top w:w="90" w:type="dxa"/>
              <w:start w:w="110" w:type="dxa"/>
              <w:bottom w:w="90" w:type="dxa"/>
              <w:end w:w="110" w:type="dxa"/>
            </w:tcMar>
            <w:shd w:fill="F7F9FA"/>
          </w:tcPr>
          <w:p>
            <w:pPr>
              <w:spacing w:after="40"/>
            </w:pPr>
            <w:r>
              <w:rPr>
                <w:rFonts w:ascii="Aptos" w:hAnsi="Aptos"/>
                <w:color w:val="1B2733"/>
                <w:sz w:val="16"/>
              </w:rPr>
              <w:t>Translation</w:t>
            </w:r>
          </w:p>
        </w:tc>
        <w:tc>
          <w:tcPr>
            <w:tcW w:type="dxa" w:w="3816"/>
            <w:vAlign w:val="top"/>
            <w:tcMar>
              <w:top w:w="90" w:type="dxa"/>
              <w:start w:w="110" w:type="dxa"/>
              <w:bottom w:w="90" w:type="dxa"/>
              <w:end w:w="110" w:type="dxa"/>
            </w:tcMar>
            <w:shd w:fill="F7F9FA"/>
          </w:tcPr>
          <w:p>
            <w:pPr>
              <w:spacing w:after="40"/>
            </w:pPr>
            <w:r>
              <w:rPr>
                <w:rFonts w:ascii="Aptos" w:hAnsi="Aptos"/>
                <w:color w:val="1B2733"/>
                <w:sz w:val="16"/>
              </w:rPr>
              <w:t>Show proposed translation and response</w:t>
            </w:r>
          </w:p>
        </w:tc>
        <w:tc>
          <w:tcPr>
            <w:tcW w:type="dxa" w:w="3744"/>
            <w:vAlign w:val="top"/>
            <w:tcMar>
              <w:top w:w="90" w:type="dxa"/>
              <w:start w:w="110" w:type="dxa"/>
              <w:bottom w:w="90" w:type="dxa"/>
              <w:end w:w="110" w:type="dxa"/>
            </w:tcMar>
            <w:shd w:fill="F7F9FA"/>
          </w:tcPr>
          <w:p>
            <w:pPr>
              <w:spacing w:after="40"/>
            </w:pPr>
            <w:r>
              <w:rPr>
                <w:rFonts w:ascii="Aptos" w:hAnsi="Aptos"/>
                <w:color w:val="1B2733"/>
                <w:sz w:val="16"/>
              </w:rPr>
              <w:t>Original retained; quality state and provider terms disclosed</w:t>
            </w:r>
          </w:p>
        </w:tc>
      </w:tr>
      <w:tr>
        <w:tc>
          <w:tcPr>
            <w:tcW w:type="dxa" w:w="1800"/>
            <w:vAlign w:val="top"/>
            <w:tcMar>
              <w:top w:w="90" w:type="dxa"/>
              <w:start w:w="110" w:type="dxa"/>
              <w:bottom w:w="90" w:type="dxa"/>
              <w:end w:w="110" w:type="dxa"/>
            </w:tcMar>
          </w:tcPr>
          <w:p>
            <w:pPr>
              <w:spacing w:after="40"/>
            </w:pPr>
            <w:r>
              <w:rPr>
                <w:rFonts w:ascii="Aptos" w:hAnsi="Aptos"/>
                <w:color w:val="1B2733"/>
                <w:sz w:val="16"/>
              </w:rPr>
              <w:t>Journey messaging</w:t>
            </w:r>
          </w:p>
        </w:tc>
        <w:tc>
          <w:tcPr>
            <w:tcW w:type="dxa" w:w="3816"/>
            <w:vAlign w:val="top"/>
            <w:tcMar>
              <w:top w:w="90" w:type="dxa"/>
              <w:start w:w="110" w:type="dxa"/>
              <w:bottom w:w="90" w:type="dxa"/>
              <w:end w:w="110" w:type="dxa"/>
            </w:tcMar>
          </w:tcPr>
          <w:p>
            <w:pPr>
              <w:spacing w:after="40"/>
            </w:pPr>
            <w:r>
              <w:rPr>
                <w:rFonts w:ascii="Aptos" w:hAnsi="Aptos"/>
                <w:color w:val="1B2733"/>
                <w:sz w:val="16"/>
              </w:rPr>
              <w:t>Personalise approved templates and upsell suggestions</w:t>
            </w:r>
          </w:p>
        </w:tc>
        <w:tc>
          <w:tcPr>
            <w:tcW w:type="dxa" w:w="3744"/>
            <w:vAlign w:val="top"/>
            <w:tcMar>
              <w:top w:w="90" w:type="dxa"/>
              <w:start w:w="110" w:type="dxa"/>
              <w:bottom w:w="90" w:type="dxa"/>
              <w:end w:w="110" w:type="dxa"/>
            </w:tcMar>
          </w:tcPr>
          <w:p>
            <w:pPr>
              <w:spacing w:after="40"/>
            </w:pPr>
            <w:r>
              <w:rPr>
                <w:rFonts w:ascii="Aptos" w:hAnsi="Aptos"/>
                <w:color w:val="1B2733"/>
                <w:sz w:val="16"/>
              </w:rPr>
              <w:t>Consent, trigger, quiet hours, variable allow-list and opt-out</w:t>
            </w:r>
          </w:p>
        </w:tc>
      </w:tr>
      <w:tr>
        <w:tc>
          <w:tcPr>
            <w:tcW w:type="dxa" w:w="1800"/>
            <w:vAlign w:val="top"/>
            <w:tcMar>
              <w:top w:w="90" w:type="dxa"/>
              <w:start w:w="110" w:type="dxa"/>
              <w:bottom w:w="90" w:type="dxa"/>
              <w:end w:w="110" w:type="dxa"/>
            </w:tcMar>
            <w:shd w:fill="F7F9FA"/>
          </w:tcPr>
          <w:p>
            <w:pPr>
              <w:spacing w:after="40"/>
            </w:pPr>
            <w:r>
              <w:rPr>
                <w:rFonts w:ascii="Aptos" w:hAnsi="Aptos"/>
                <w:color w:val="1B2733"/>
                <w:sz w:val="16"/>
              </w:rPr>
              <w:t>Guest recovery</w:t>
            </w:r>
          </w:p>
        </w:tc>
        <w:tc>
          <w:tcPr>
            <w:tcW w:type="dxa" w:w="3816"/>
            <w:vAlign w:val="top"/>
            <w:tcMar>
              <w:top w:w="90" w:type="dxa"/>
              <w:start w:w="110" w:type="dxa"/>
              <w:bottom w:w="90" w:type="dxa"/>
              <w:end w:w="110" w:type="dxa"/>
            </w:tcMar>
            <w:shd w:fill="F7F9FA"/>
          </w:tcPr>
          <w:p>
            <w:pPr>
              <w:spacing w:after="40"/>
            </w:pPr>
            <w:r>
              <w:rPr>
                <w:rFonts w:ascii="Aptos" w:hAnsi="Aptos"/>
                <w:color w:val="1B2733"/>
                <w:sz w:val="16"/>
              </w:rPr>
              <w:t>Classify severity and recommend service recovery</w:t>
            </w:r>
          </w:p>
        </w:tc>
        <w:tc>
          <w:tcPr>
            <w:tcW w:type="dxa" w:w="3744"/>
            <w:vAlign w:val="top"/>
            <w:tcMar>
              <w:top w:w="90" w:type="dxa"/>
              <w:start w:w="110" w:type="dxa"/>
              <w:bottom w:w="90" w:type="dxa"/>
              <w:end w:w="110" w:type="dxa"/>
            </w:tcMar>
            <w:shd w:fill="F7F9FA"/>
          </w:tcPr>
          <w:p>
            <w:pPr>
              <w:spacing w:after="40"/>
            </w:pPr>
            <w:r>
              <w:rPr>
                <w:rFonts w:ascii="Aptos" w:hAnsi="Aptos"/>
                <w:color w:val="1B2733"/>
                <w:sz w:val="16"/>
              </w:rPr>
              <w:t>Delegated limits; manager approval for compensation</w:t>
            </w:r>
          </w:p>
        </w:tc>
      </w:tr>
      <w:tr>
        <w:tc>
          <w:tcPr>
            <w:tcW w:type="dxa" w:w="1800"/>
            <w:vAlign w:val="top"/>
            <w:tcMar>
              <w:top w:w="90" w:type="dxa"/>
              <w:start w:w="110" w:type="dxa"/>
              <w:bottom w:w="90" w:type="dxa"/>
              <w:end w:w="110" w:type="dxa"/>
            </w:tcMar>
          </w:tcPr>
          <w:p>
            <w:pPr>
              <w:spacing w:after="40"/>
            </w:pPr>
            <w:r>
              <w:rPr>
                <w:rFonts w:ascii="Aptos" w:hAnsi="Aptos"/>
                <w:color w:val="1B2733"/>
                <w:sz w:val="16"/>
              </w:rPr>
              <w:t>Review response</w:t>
            </w:r>
          </w:p>
        </w:tc>
        <w:tc>
          <w:tcPr>
            <w:tcW w:type="dxa" w:w="3816"/>
            <w:vAlign w:val="top"/>
            <w:tcMar>
              <w:top w:w="90" w:type="dxa"/>
              <w:start w:w="110" w:type="dxa"/>
              <w:bottom w:w="90" w:type="dxa"/>
              <w:end w:w="110" w:type="dxa"/>
            </w:tcMar>
          </w:tcPr>
          <w:p>
            <w:pPr>
              <w:spacing w:after="40"/>
            </w:pPr>
            <w:r>
              <w:rPr>
                <w:rFonts w:ascii="Aptos" w:hAnsi="Aptos"/>
                <w:color w:val="1B2733"/>
                <w:sz w:val="16"/>
              </w:rPr>
              <w:t>Draft empathetic, evidence-aware reply</w:t>
            </w:r>
          </w:p>
        </w:tc>
        <w:tc>
          <w:tcPr>
            <w:tcW w:type="dxa" w:w="3744"/>
            <w:vAlign w:val="top"/>
            <w:tcMar>
              <w:top w:w="90" w:type="dxa"/>
              <w:start w:w="110" w:type="dxa"/>
              <w:bottom w:w="90" w:type="dxa"/>
              <w:end w:w="110" w:type="dxa"/>
            </w:tcMar>
          </w:tcPr>
          <w:p>
            <w:pPr>
              <w:spacing w:after="40"/>
            </w:pPr>
            <w:r>
              <w:rPr>
                <w:rFonts w:ascii="Aptos" w:hAnsi="Aptos"/>
                <w:color w:val="1B2733"/>
                <w:sz w:val="16"/>
              </w:rPr>
              <w:t>No publication without separate hash-bound approval</w:t>
            </w:r>
          </w:p>
        </w:tc>
      </w:tr>
    </w:tbl>
    <w:p>
      <w:r>
        <w:br w:type="page"/>
      </w:r>
    </w:p>
    <w:p>
      <w:pPr>
        <w:pStyle w:val="Heading2"/>
      </w:pPr>
      <w:r>
        <w:t>37.7 Agentic AI operating boundary</w:t>
      </w:r>
    </w:p>
    <w:tbl>
      <w:tblPr>
        <w:tblStyle w:val="TableGrid"/>
        <w:tblW w:type="dxa" w:w="9360"/>
        <w:jc w:val="left"/>
        <w:tblLayout w:type="fixed"/>
        <w:tblLook w:firstColumn="1" w:firstRow="1" w:lastColumn="0" w:lastRow="0" w:noHBand="0" w:noVBand="1" w:val="04A0"/>
        <w:tblInd w:type="dxa" w:w="110"/>
      </w:tblPr>
      <w:tblGrid>
        <w:gridCol w:w="1656"/>
        <w:gridCol w:w="2880"/>
        <w:gridCol w:w="2880"/>
        <w:gridCol w:w="1944"/>
      </w:tblGrid>
      <w:tr>
        <w:trPr>
          <w:tblHeader w:val="true"/>
        </w:trPr>
        <w:tc>
          <w:tcPr>
            <w:tcW w:type="dxa" w:w="1656"/>
            <w:vAlign w:val="center"/>
            <w:shd w:fill="10263B"/>
            <w:tcMar>
              <w:top w:w="90" w:type="dxa"/>
              <w:start w:w="110" w:type="dxa"/>
              <w:bottom w:w="90" w:type="dxa"/>
              <w:end w:w="110" w:type="dxa"/>
            </w:tcMar>
          </w:tcPr>
          <w:p>
            <w:r>
              <w:rPr>
                <w:rFonts w:ascii="Aptos" w:hAnsi="Aptos"/>
                <w:b/>
                <w:color w:val="FFFFFF"/>
                <w:sz w:val="17"/>
              </w:rPr>
              <w:t>Level</w:t>
            </w:r>
          </w:p>
        </w:tc>
        <w:tc>
          <w:tcPr>
            <w:tcW w:type="dxa" w:w="2880"/>
            <w:vAlign w:val="center"/>
            <w:shd w:fill="10263B"/>
            <w:tcMar>
              <w:top w:w="90" w:type="dxa"/>
              <w:start w:w="110" w:type="dxa"/>
              <w:bottom w:w="90" w:type="dxa"/>
              <w:end w:w="110" w:type="dxa"/>
            </w:tcMar>
          </w:tcPr>
          <w:p>
            <w:r>
              <w:rPr>
                <w:rFonts w:ascii="Aptos" w:hAnsi="Aptos"/>
                <w:b/>
                <w:color w:val="FFFFFF"/>
                <w:sz w:val="17"/>
              </w:rPr>
              <w:t>Permitted behaviour</w:t>
            </w:r>
          </w:p>
        </w:tc>
        <w:tc>
          <w:tcPr>
            <w:tcW w:type="dxa" w:w="2880"/>
            <w:vAlign w:val="center"/>
            <w:shd w:fill="10263B"/>
            <w:tcMar>
              <w:top w:w="90" w:type="dxa"/>
              <w:start w:w="110" w:type="dxa"/>
              <w:bottom w:w="90" w:type="dxa"/>
              <w:end w:w="110" w:type="dxa"/>
            </w:tcMar>
          </w:tcPr>
          <w:p>
            <w:r>
              <w:rPr>
                <w:rFonts w:ascii="Aptos" w:hAnsi="Aptos"/>
                <w:b/>
                <w:color w:val="FFFFFF"/>
                <w:sz w:val="17"/>
              </w:rPr>
              <w:t>Examples</w:t>
            </w:r>
          </w:p>
        </w:tc>
        <w:tc>
          <w:tcPr>
            <w:tcW w:type="dxa" w:w="1944"/>
            <w:vAlign w:val="center"/>
            <w:shd w:fill="10263B"/>
            <w:tcMar>
              <w:top w:w="90" w:type="dxa"/>
              <w:start w:w="110" w:type="dxa"/>
              <w:bottom w:w="90" w:type="dxa"/>
              <w:end w:w="110" w:type="dxa"/>
            </w:tcMar>
          </w:tcPr>
          <w:p>
            <w:r>
              <w:rPr>
                <w:rFonts w:ascii="Aptos" w:hAnsi="Aptos"/>
                <w:b/>
                <w:color w:val="FFFFFF"/>
                <w:sz w:val="17"/>
              </w:rPr>
              <w:t>Required control</w:t>
            </w:r>
          </w:p>
        </w:tc>
      </w:tr>
      <w:tr>
        <w:tc>
          <w:tcPr>
            <w:tcW w:type="dxa" w:w="1656"/>
            <w:vAlign w:val="top"/>
            <w:tcMar>
              <w:top w:w="90" w:type="dxa"/>
              <w:start w:w="110" w:type="dxa"/>
              <w:bottom w:w="90" w:type="dxa"/>
              <w:end w:w="110" w:type="dxa"/>
            </w:tcMar>
          </w:tcPr>
          <w:p>
            <w:pPr>
              <w:spacing w:after="40"/>
            </w:pPr>
            <w:r>
              <w:rPr>
                <w:rFonts w:ascii="Aptos" w:hAnsi="Aptos"/>
                <w:color w:val="1B2733"/>
                <w:sz w:val="16"/>
              </w:rPr>
              <w:t>A0 — Observe</w:t>
            </w:r>
          </w:p>
        </w:tc>
        <w:tc>
          <w:tcPr>
            <w:tcW w:type="dxa" w:w="2880"/>
            <w:vAlign w:val="top"/>
            <w:tcMar>
              <w:top w:w="90" w:type="dxa"/>
              <w:start w:w="110" w:type="dxa"/>
              <w:bottom w:w="90" w:type="dxa"/>
              <w:end w:w="110" w:type="dxa"/>
            </w:tcMar>
          </w:tcPr>
          <w:p>
            <w:pPr>
              <w:spacing w:after="40"/>
            </w:pPr>
            <w:r>
              <w:rPr>
                <w:rFonts w:ascii="Aptos" w:hAnsi="Aptos"/>
                <w:color w:val="1B2733"/>
                <w:sz w:val="16"/>
              </w:rPr>
              <w:t>Read approved, scoped records</w:t>
            </w:r>
          </w:p>
        </w:tc>
        <w:tc>
          <w:tcPr>
            <w:tcW w:type="dxa" w:w="2880"/>
            <w:vAlign w:val="top"/>
            <w:tcMar>
              <w:top w:w="90" w:type="dxa"/>
              <w:start w:w="110" w:type="dxa"/>
              <w:bottom w:w="90" w:type="dxa"/>
              <w:end w:w="110" w:type="dxa"/>
            </w:tcMar>
          </w:tcPr>
          <w:p>
            <w:pPr>
              <w:spacing w:after="40"/>
            </w:pPr>
            <w:r>
              <w:rPr>
                <w:rFonts w:ascii="Aptos" w:hAnsi="Aptos"/>
                <w:color w:val="1B2733"/>
                <w:sz w:val="16"/>
              </w:rPr>
              <w:t>Search, explain, summarise</w:t>
            </w:r>
          </w:p>
        </w:tc>
        <w:tc>
          <w:tcPr>
            <w:tcW w:type="dxa" w:w="1944"/>
            <w:vAlign w:val="top"/>
            <w:tcMar>
              <w:top w:w="90" w:type="dxa"/>
              <w:start w:w="110" w:type="dxa"/>
              <w:bottom w:w="90" w:type="dxa"/>
              <w:end w:w="110" w:type="dxa"/>
            </w:tcMar>
          </w:tcPr>
          <w:p>
            <w:pPr>
              <w:spacing w:after="40"/>
            </w:pPr>
            <w:r>
              <w:rPr>
                <w:rFonts w:ascii="Aptos" w:hAnsi="Aptos"/>
                <w:color w:val="1B2733"/>
                <w:sz w:val="16"/>
              </w:rPr>
              <w:t>Role and property filter; no mutation</w:t>
            </w:r>
          </w:p>
        </w:tc>
      </w:tr>
      <w:tr>
        <w:tc>
          <w:tcPr>
            <w:tcW w:type="dxa" w:w="1656"/>
            <w:vAlign w:val="top"/>
            <w:tcMar>
              <w:top w:w="90" w:type="dxa"/>
              <w:start w:w="110" w:type="dxa"/>
              <w:bottom w:w="90" w:type="dxa"/>
              <w:end w:w="110" w:type="dxa"/>
            </w:tcMar>
            <w:shd w:fill="F7F9FA"/>
          </w:tcPr>
          <w:p>
            <w:pPr>
              <w:spacing w:after="40"/>
            </w:pPr>
            <w:r>
              <w:rPr>
                <w:rFonts w:ascii="Aptos" w:hAnsi="Aptos"/>
                <w:color w:val="1B2733"/>
                <w:sz w:val="16"/>
              </w:rPr>
              <w:t>A1 — Recommend</w:t>
            </w:r>
          </w:p>
        </w:tc>
        <w:tc>
          <w:tcPr>
            <w:tcW w:type="dxa" w:w="2880"/>
            <w:vAlign w:val="top"/>
            <w:tcMar>
              <w:top w:w="90" w:type="dxa"/>
              <w:start w:w="110" w:type="dxa"/>
              <w:bottom w:w="90" w:type="dxa"/>
              <w:end w:w="110" w:type="dxa"/>
            </w:tcMar>
            <w:shd w:fill="F7F9FA"/>
          </w:tcPr>
          <w:p>
            <w:pPr>
              <w:spacing w:after="40"/>
            </w:pPr>
            <w:r>
              <w:rPr>
                <w:rFonts w:ascii="Aptos" w:hAnsi="Aptos"/>
                <w:color w:val="1B2733"/>
                <w:sz w:val="16"/>
              </w:rPr>
              <w:t>Produce ranked, sourced options</w:t>
            </w:r>
          </w:p>
        </w:tc>
        <w:tc>
          <w:tcPr>
            <w:tcW w:type="dxa" w:w="2880"/>
            <w:vAlign w:val="top"/>
            <w:tcMar>
              <w:top w:w="90" w:type="dxa"/>
              <w:start w:w="110" w:type="dxa"/>
              <w:bottom w:w="90" w:type="dxa"/>
              <w:end w:w="110" w:type="dxa"/>
            </w:tcMar>
            <w:shd w:fill="F7F9FA"/>
          </w:tcPr>
          <w:p>
            <w:pPr>
              <w:spacing w:after="40"/>
            </w:pPr>
            <w:r>
              <w:rPr>
                <w:rFonts w:ascii="Aptos" w:hAnsi="Aptos"/>
                <w:color w:val="1B2733"/>
                <w:sz w:val="16"/>
              </w:rPr>
              <w:t>Rate, staffing, recovery or maintenance suggestion</w:t>
            </w:r>
          </w:p>
        </w:tc>
        <w:tc>
          <w:tcPr>
            <w:tcW w:type="dxa" w:w="1944"/>
            <w:vAlign w:val="top"/>
            <w:tcMar>
              <w:top w:w="90" w:type="dxa"/>
              <w:start w:w="110" w:type="dxa"/>
              <w:bottom w:w="90" w:type="dxa"/>
              <w:end w:w="110" w:type="dxa"/>
            </w:tcMar>
            <w:shd w:fill="F7F9FA"/>
          </w:tcPr>
          <w:p>
            <w:pPr>
              <w:spacing w:after="40"/>
            </w:pPr>
            <w:r>
              <w:rPr>
                <w:rFonts w:ascii="Aptos" w:hAnsi="Aptos"/>
                <w:color w:val="1B2733"/>
                <w:sz w:val="16"/>
              </w:rPr>
              <w:t>Evidence, uncertainty and human choice</w:t>
            </w:r>
          </w:p>
        </w:tc>
      </w:tr>
      <w:tr>
        <w:tc>
          <w:tcPr>
            <w:tcW w:type="dxa" w:w="1656"/>
            <w:vAlign w:val="top"/>
            <w:tcMar>
              <w:top w:w="90" w:type="dxa"/>
              <w:start w:w="110" w:type="dxa"/>
              <w:bottom w:w="90" w:type="dxa"/>
              <w:end w:w="110" w:type="dxa"/>
            </w:tcMar>
          </w:tcPr>
          <w:p>
            <w:pPr>
              <w:spacing w:after="40"/>
            </w:pPr>
            <w:r>
              <w:rPr>
                <w:rFonts w:ascii="Aptos" w:hAnsi="Aptos"/>
                <w:color w:val="1B2733"/>
                <w:sz w:val="16"/>
              </w:rPr>
              <w:t>A2 — Draft</w:t>
            </w:r>
          </w:p>
        </w:tc>
        <w:tc>
          <w:tcPr>
            <w:tcW w:type="dxa" w:w="2880"/>
            <w:vAlign w:val="top"/>
            <w:tcMar>
              <w:top w:w="90" w:type="dxa"/>
              <w:start w:w="110" w:type="dxa"/>
              <w:bottom w:w="90" w:type="dxa"/>
              <w:end w:w="110" w:type="dxa"/>
            </w:tcMar>
          </w:tcPr>
          <w:p>
            <w:pPr>
              <w:spacing w:after="40"/>
            </w:pPr>
            <w:r>
              <w:rPr>
                <w:rFonts w:ascii="Aptos" w:hAnsi="Aptos"/>
                <w:color w:val="1B2733"/>
                <w:sz w:val="16"/>
              </w:rPr>
              <w:t>Create a non-executing work item</w:t>
            </w:r>
          </w:p>
        </w:tc>
        <w:tc>
          <w:tcPr>
            <w:tcW w:type="dxa" w:w="2880"/>
            <w:vAlign w:val="top"/>
            <w:tcMar>
              <w:top w:w="90" w:type="dxa"/>
              <w:start w:w="110" w:type="dxa"/>
              <w:bottom w:w="90" w:type="dxa"/>
              <w:end w:w="110" w:type="dxa"/>
            </w:tcMar>
          </w:tcPr>
          <w:p>
            <w:pPr>
              <w:spacing w:after="40"/>
            </w:pPr>
            <w:r>
              <w:rPr>
                <w:rFonts w:ascii="Aptos" w:hAnsi="Aptos"/>
                <w:color w:val="1B2733"/>
                <w:sz w:val="16"/>
              </w:rPr>
              <w:t>Reply, campaign, journal or task draft</w:t>
            </w:r>
          </w:p>
        </w:tc>
        <w:tc>
          <w:tcPr>
            <w:tcW w:type="dxa" w:w="1944"/>
            <w:vAlign w:val="top"/>
            <w:tcMar>
              <w:top w:w="90" w:type="dxa"/>
              <w:start w:w="110" w:type="dxa"/>
              <w:bottom w:w="90" w:type="dxa"/>
              <w:end w:w="110" w:type="dxa"/>
            </w:tcMar>
          </w:tcPr>
          <w:p>
            <w:pPr>
              <w:spacing w:after="40"/>
            </w:pPr>
            <w:r>
              <w:rPr>
                <w:rFonts w:ascii="Aptos" w:hAnsi="Aptos"/>
                <w:color w:val="1B2733"/>
                <w:sz w:val="16"/>
              </w:rPr>
              <w:t>Schema validation and immutable provenance</w:t>
            </w:r>
          </w:p>
        </w:tc>
      </w:tr>
      <w:tr>
        <w:tc>
          <w:tcPr>
            <w:tcW w:type="dxa" w:w="1656"/>
            <w:vAlign w:val="top"/>
            <w:tcMar>
              <w:top w:w="90" w:type="dxa"/>
              <w:start w:w="110" w:type="dxa"/>
              <w:bottom w:w="90" w:type="dxa"/>
              <w:end w:w="110" w:type="dxa"/>
            </w:tcMar>
            <w:shd w:fill="F7F9FA"/>
          </w:tcPr>
          <w:p>
            <w:pPr>
              <w:spacing w:after="40"/>
            </w:pPr>
            <w:r>
              <w:rPr>
                <w:rFonts w:ascii="Aptos" w:hAnsi="Aptos"/>
                <w:color w:val="1B2733"/>
                <w:sz w:val="16"/>
              </w:rPr>
              <w:t>A3 — Execute with approval</w:t>
            </w:r>
          </w:p>
        </w:tc>
        <w:tc>
          <w:tcPr>
            <w:tcW w:type="dxa" w:w="2880"/>
            <w:vAlign w:val="top"/>
            <w:tcMar>
              <w:top w:w="90" w:type="dxa"/>
              <w:start w:w="110" w:type="dxa"/>
              <w:bottom w:w="90" w:type="dxa"/>
              <w:end w:w="110" w:type="dxa"/>
            </w:tcMar>
            <w:shd w:fill="F7F9FA"/>
          </w:tcPr>
          <w:p>
            <w:pPr>
              <w:spacing w:after="40"/>
            </w:pPr>
            <w:r>
              <w:rPr>
                <w:rFonts w:ascii="Aptos" w:hAnsi="Aptos"/>
                <w:color w:val="1B2733"/>
                <w:sz w:val="16"/>
              </w:rPr>
              <w:t>Run an approved, bounded action</w:t>
            </w:r>
          </w:p>
        </w:tc>
        <w:tc>
          <w:tcPr>
            <w:tcW w:type="dxa" w:w="2880"/>
            <w:vAlign w:val="top"/>
            <w:tcMar>
              <w:top w:w="90" w:type="dxa"/>
              <w:start w:w="110" w:type="dxa"/>
              <w:bottom w:w="90" w:type="dxa"/>
              <w:end w:w="110" w:type="dxa"/>
            </w:tcMar>
            <w:shd w:fill="F7F9FA"/>
          </w:tcPr>
          <w:p>
            <w:pPr>
              <w:spacing w:after="40"/>
            </w:pPr>
            <w:r>
              <w:rPr>
                <w:rFonts w:ascii="Aptos" w:hAnsi="Aptos"/>
                <w:color w:val="1B2733"/>
                <w:sz w:val="16"/>
              </w:rPr>
              <w:t>Publish rate/content; release configured message</w:t>
            </w:r>
          </w:p>
        </w:tc>
        <w:tc>
          <w:tcPr>
            <w:tcW w:type="dxa" w:w="1944"/>
            <w:vAlign w:val="top"/>
            <w:tcMar>
              <w:top w:w="90" w:type="dxa"/>
              <w:start w:w="110" w:type="dxa"/>
              <w:bottom w:w="90" w:type="dxa"/>
              <w:end w:w="110" w:type="dxa"/>
            </w:tcMar>
            <w:shd w:fill="F7F9FA"/>
          </w:tcPr>
          <w:p>
            <w:pPr>
              <w:spacing w:after="40"/>
            </w:pPr>
            <w:r>
              <w:rPr>
                <w:rFonts w:ascii="Aptos" w:hAnsi="Aptos"/>
                <w:color w:val="1B2733"/>
                <w:sz w:val="16"/>
              </w:rPr>
              <w:t>Separate approval, source hash, budget and rollback</w:t>
            </w:r>
          </w:p>
        </w:tc>
      </w:tr>
      <w:tr>
        <w:tc>
          <w:tcPr>
            <w:tcW w:type="dxa" w:w="1656"/>
            <w:vAlign w:val="top"/>
            <w:tcMar>
              <w:top w:w="90" w:type="dxa"/>
              <w:start w:w="110" w:type="dxa"/>
              <w:bottom w:w="90" w:type="dxa"/>
              <w:end w:w="110" w:type="dxa"/>
            </w:tcMar>
          </w:tcPr>
          <w:p>
            <w:pPr>
              <w:spacing w:after="40"/>
            </w:pPr>
            <w:r>
              <w:rPr>
                <w:rFonts w:ascii="Aptos" w:hAnsi="Aptos"/>
                <w:color w:val="1B2733"/>
                <w:sz w:val="16"/>
              </w:rPr>
              <w:t>A4 — Bounded automation</w:t>
            </w:r>
          </w:p>
        </w:tc>
        <w:tc>
          <w:tcPr>
            <w:tcW w:type="dxa" w:w="2880"/>
            <w:vAlign w:val="top"/>
            <w:tcMar>
              <w:top w:w="90" w:type="dxa"/>
              <w:start w:w="110" w:type="dxa"/>
              <w:bottom w:w="90" w:type="dxa"/>
              <w:end w:w="110" w:type="dxa"/>
            </w:tcMar>
          </w:tcPr>
          <w:p>
            <w:pPr>
              <w:spacing w:after="40"/>
            </w:pPr>
            <w:r>
              <w:rPr>
                <w:rFonts w:ascii="Aptos" w:hAnsi="Aptos"/>
                <w:color w:val="1B2733"/>
                <w:sz w:val="16"/>
              </w:rPr>
              <w:t>Repeat low-risk configured actions</w:t>
            </w:r>
          </w:p>
        </w:tc>
        <w:tc>
          <w:tcPr>
            <w:tcW w:type="dxa" w:w="2880"/>
            <w:vAlign w:val="top"/>
            <w:tcMar>
              <w:top w:w="90" w:type="dxa"/>
              <w:start w:w="110" w:type="dxa"/>
              <w:bottom w:w="90" w:type="dxa"/>
              <w:end w:w="110" w:type="dxa"/>
            </w:tcMar>
          </w:tcPr>
          <w:p>
            <w:pPr>
              <w:spacing w:after="40"/>
            </w:pPr>
            <w:r>
              <w:rPr>
                <w:rFonts w:ascii="Aptos" w:hAnsi="Aptos"/>
                <w:color w:val="1B2733"/>
                <w:sz w:val="16"/>
              </w:rPr>
              <w:t>Internal reminders, SLA routing, anomaly alert</w:t>
            </w:r>
          </w:p>
        </w:tc>
        <w:tc>
          <w:tcPr>
            <w:tcW w:type="dxa" w:w="1944"/>
            <w:vAlign w:val="top"/>
            <w:tcMar>
              <w:top w:w="90" w:type="dxa"/>
              <w:start w:w="110" w:type="dxa"/>
              <w:bottom w:w="90" w:type="dxa"/>
              <w:end w:w="110" w:type="dxa"/>
            </w:tcMar>
          </w:tcPr>
          <w:p>
            <w:pPr>
              <w:spacing w:after="40"/>
            </w:pPr>
            <w:r>
              <w:rPr>
                <w:rFonts w:ascii="Aptos" w:hAnsi="Aptos"/>
                <w:color w:val="1B2733"/>
                <w:sz w:val="16"/>
              </w:rPr>
              <w:t>Policy, monitoring, kill switch and periodic review</w:t>
            </w:r>
          </w:p>
        </w:tc>
      </w:tr>
    </w:tbl>
    <w:p>
      <w:pPr>
        <w:pStyle w:val="Heading3"/>
      </w:pPr>
      <w:r>
        <w:t>Prohibited autonomous actions</w:t>
      </w:r>
    </w:p>
    <w:p>
      <w:pPr>
        <w:pStyle w:val="ListBullet"/>
        <w:spacing w:after="60" w:line="250" w:lineRule="auto"/>
      </w:pPr>
      <w:r>
        <w:t>No unapproved rate, inventory, ad, social, review, payment, refund, journal, employment, access or safety-critical publication.</w:t>
      </w:r>
    </w:p>
    <w:p>
      <w:pPr>
        <w:pStyle w:val="ListBullet"/>
        <w:spacing w:after="60" w:line="250" w:lineRule="auto"/>
      </w:pPr>
      <w:r>
        <w:t>No storage of full card data, raw biometric templates, passwords, provider secrets or unrestricted identity documents.</w:t>
      </w:r>
    </w:p>
    <w:p>
      <w:pPr>
        <w:pStyle w:val="ListBullet"/>
        <w:spacing w:after="60" w:line="250" w:lineRule="auto"/>
      </w:pPr>
      <w:r>
        <w:t>No invented facts, fabricated source states, hidden price changes, discriminatory targeting or use of guest data without a lawful and disclosed basis.</w:t>
      </w:r>
    </w:p>
    <w:p>
      <w:pPr>
        <w:pStyle w:val="ListBullet"/>
        <w:spacing w:after="60" w:line="250" w:lineRule="auto"/>
      </w:pPr>
      <w:r>
        <w:t>No direct database mutation that bypasses tenant, record-mode, approval, idempotency, audit or reconciliation controls.</w:t>
      </w:r>
    </w:p>
    <w:p>
      <w:pPr>
        <w:pStyle w:val="Heading2"/>
      </w:pPr>
      <w:r>
        <w:t>37.8 RAHIS WorkSuite</w:t>
      </w:r>
    </w:p>
    <w:p>
      <w:r>
        <w:t>RAHIS WorkSuite is an original collaboration environment, not a copy of Google Workspace. It provides hotel-scoped mail and inbox governance, calendar and shifts, documents, spreadsheets, presentations, shared files, chat, tasks, approvals, enterprise search and RAHIS Connect meetings. Optional Gmail, Google Calendar and Drive interoperability uses approved OAuth adapters and never implies ownership of Google products or automatic external delivery.</w:t>
      </w:r>
    </w:p>
    <w:p>
      <w:pPr>
        <w:pStyle w:val="Heading2"/>
      </w:pPr>
      <w:r>
        <w:t>37.9 Hosting evolution and resilience</w:t>
      </w:r>
    </w:p>
    <w:tbl>
      <w:tblPr>
        <w:tblStyle w:val="TableGrid"/>
        <w:tblW w:type="dxa" w:w="9360"/>
        <w:jc w:val="left"/>
        <w:tblLayout w:type="fixed"/>
        <w:tblLook w:firstColumn="1" w:firstRow="1" w:lastColumn="0" w:lastRow="0" w:noHBand="0" w:noVBand="1" w:val="04A0"/>
        <w:tblInd w:type="dxa" w:w="110"/>
      </w:tblPr>
      <w:tblGrid>
        <w:gridCol w:w="1368"/>
        <w:gridCol w:w="2232"/>
        <w:gridCol w:w="4320"/>
        <w:gridCol w:w="1440"/>
      </w:tblGrid>
      <w:tr>
        <w:trPr>
          <w:tblHeader w:val="true"/>
        </w:trPr>
        <w:tc>
          <w:tcPr>
            <w:tcW w:type="dxa" w:w="1368"/>
            <w:vAlign w:val="center"/>
            <w:shd w:fill="10263B"/>
            <w:tcMar>
              <w:top w:w="90" w:type="dxa"/>
              <w:start w:w="110" w:type="dxa"/>
              <w:bottom w:w="90" w:type="dxa"/>
              <w:end w:w="110" w:type="dxa"/>
            </w:tcMar>
          </w:tcPr>
          <w:p>
            <w:r>
              <w:rPr>
                <w:rFonts w:ascii="Aptos" w:hAnsi="Aptos"/>
                <w:b/>
                <w:color w:val="FFFFFF"/>
                <w:sz w:val="17"/>
              </w:rPr>
              <w:t>Tier</w:t>
            </w:r>
          </w:p>
        </w:tc>
        <w:tc>
          <w:tcPr>
            <w:tcW w:type="dxa" w:w="2232"/>
            <w:vAlign w:val="center"/>
            <w:shd w:fill="10263B"/>
            <w:tcMar>
              <w:top w:w="90" w:type="dxa"/>
              <w:start w:w="110" w:type="dxa"/>
              <w:bottom w:w="90" w:type="dxa"/>
              <w:end w:w="110" w:type="dxa"/>
            </w:tcMar>
          </w:tcPr>
          <w:p>
            <w:r>
              <w:rPr>
                <w:rFonts w:ascii="Aptos" w:hAnsi="Aptos"/>
                <w:b/>
                <w:color w:val="FFFFFF"/>
                <w:sz w:val="17"/>
              </w:rPr>
              <w:t>Purpose</w:t>
            </w:r>
          </w:p>
        </w:tc>
        <w:tc>
          <w:tcPr>
            <w:tcW w:type="dxa" w:w="4320"/>
            <w:vAlign w:val="center"/>
            <w:shd w:fill="10263B"/>
            <w:tcMar>
              <w:top w:w="90" w:type="dxa"/>
              <w:start w:w="110" w:type="dxa"/>
              <w:bottom w:w="90" w:type="dxa"/>
              <w:end w:w="110" w:type="dxa"/>
            </w:tcMar>
          </w:tcPr>
          <w:p>
            <w:r>
              <w:rPr>
                <w:rFonts w:ascii="Aptos" w:hAnsi="Aptos"/>
                <w:b/>
                <w:color w:val="FFFFFF"/>
                <w:sz w:val="17"/>
              </w:rPr>
              <w:t>Placement and controls</w:t>
            </w:r>
          </w:p>
        </w:tc>
        <w:tc>
          <w:tcPr>
            <w:tcW w:type="dxa" w:w="1440"/>
            <w:vAlign w:val="center"/>
            <w:shd w:fill="10263B"/>
            <w:tcMar>
              <w:top w:w="90" w:type="dxa"/>
              <w:start w:w="110" w:type="dxa"/>
              <w:bottom w:w="90" w:type="dxa"/>
              <w:end w:w="110" w:type="dxa"/>
            </w:tcMar>
          </w:tcPr>
          <w:p>
            <w:r>
              <w:rPr>
                <w:rFonts w:ascii="Aptos" w:hAnsi="Aptos"/>
                <w:b/>
                <w:color w:val="FFFFFF"/>
                <w:sz w:val="17"/>
              </w:rPr>
              <w:t>Exit trigger</w:t>
            </w:r>
          </w:p>
        </w:tc>
      </w:tr>
      <w:tr>
        <w:tc>
          <w:tcPr>
            <w:tcW w:type="dxa" w:w="1368"/>
            <w:vAlign w:val="top"/>
            <w:tcMar>
              <w:top w:w="90" w:type="dxa"/>
              <w:start w:w="110" w:type="dxa"/>
              <w:bottom w:w="90" w:type="dxa"/>
              <w:end w:w="110" w:type="dxa"/>
            </w:tcMar>
          </w:tcPr>
          <w:p>
            <w:pPr>
              <w:spacing w:after="40"/>
            </w:pPr>
            <w:r>
              <w:rPr>
                <w:rFonts w:ascii="Aptos" w:hAnsi="Aptos"/>
                <w:color w:val="1B2733"/>
                <w:sz w:val="16"/>
              </w:rPr>
              <w:t>Shared hosting</w:t>
            </w:r>
          </w:p>
        </w:tc>
        <w:tc>
          <w:tcPr>
            <w:tcW w:type="dxa" w:w="2232"/>
            <w:vAlign w:val="top"/>
            <w:tcMar>
              <w:top w:w="90" w:type="dxa"/>
              <w:start w:w="110" w:type="dxa"/>
              <w:bottom w:w="90" w:type="dxa"/>
              <w:end w:w="110" w:type="dxa"/>
            </w:tcMar>
          </w:tcPr>
          <w:p>
            <w:pPr>
              <w:spacing w:after="40"/>
            </w:pPr>
            <w:r>
              <w:rPr>
                <w:rFonts w:ascii="Aptos" w:hAnsi="Aptos"/>
                <w:color w:val="1B2733"/>
                <w:sz w:val="16"/>
              </w:rPr>
              <w:t>Controlled pilot and public experience</w:t>
            </w:r>
          </w:p>
        </w:tc>
        <w:tc>
          <w:tcPr>
            <w:tcW w:type="dxa" w:w="4320"/>
            <w:vAlign w:val="top"/>
            <w:tcMar>
              <w:top w:w="90" w:type="dxa"/>
              <w:start w:w="110" w:type="dxa"/>
              <w:bottom w:w="90" w:type="dxa"/>
              <w:end w:w="110" w:type="dxa"/>
            </w:tcMar>
          </w:tcPr>
          <w:p>
            <w:pPr>
              <w:spacing w:after="40"/>
            </w:pPr>
            <w:r>
              <w:rPr>
                <w:rFonts w:ascii="Aptos" w:hAnsi="Aptos"/>
                <w:color w:val="1B2733"/>
                <w:sz w:val="16"/>
              </w:rPr>
              <w:t>PHP/MySQL-compatible modular monolith or supported hosted runtime; 5-minute scheduler; external managed adapters</w:t>
            </w:r>
          </w:p>
        </w:tc>
        <w:tc>
          <w:tcPr>
            <w:tcW w:type="dxa" w:w="1440"/>
            <w:vAlign w:val="top"/>
            <w:tcMar>
              <w:top w:w="90" w:type="dxa"/>
              <w:start w:w="110" w:type="dxa"/>
              <w:bottom w:w="90" w:type="dxa"/>
              <w:end w:w="110" w:type="dxa"/>
            </w:tcMar>
          </w:tcPr>
          <w:p>
            <w:pPr>
              <w:spacing w:after="40"/>
            </w:pPr>
            <w:r>
              <w:rPr>
                <w:rFonts w:ascii="Aptos" w:hAnsi="Aptos"/>
                <w:color w:val="1B2733"/>
                <w:sz w:val="16"/>
              </w:rPr>
              <w:t>Sustained jobs, websocket needs, latency, security or scaling exceed limits</w:t>
            </w:r>
          </w:p>
        </w:tc>
      </w:tr>
      <w:tr>
        <w:tc>
          <w:tcPr>
            <w:tcW w:type="dxa" w:w="1368"/>
            <w:vAlign w:val="top"/>
            <w:tcMar>
              <w:top w:w="90" w:type="dxa"/>
              <w:start w:w="110" w:type="dxa"/>
              <w:bottom w:w="90" w:type="dxa"/>
              <w:end w:w="110" w:type="dxa"/>
            </w:tcMar>
            <w:shd w:fill="F7F9FA"/>
          </w:tcPr>
          <w:p>
            <w:pPr>
              <w:spacing w:after="40"/>
            </w:pPr>
            <w:r>
              <w:rPr>
                <w:rFonts w:ascii="Aptos" w:hAnsi="Aptos"/>
                <w:color w:val="1B2733"/>
                <w:sz w:val="16"/>
              </w:rPr>
              <w:t>VPS</w:t>
            </w:r>
          </w:p>
        </w:tc>
        <w:tc>
          <w:tcPr>
            <w:tcW w:type="dxa" w:w="2232"/>
            <w:vAlign w:val="top"/>
            <w:tcMar>
              <w:top w:w="90" w:type="dxa"/>
              <w:start w:w="110" w:type="dxa"/>
              <w:bottom w:w="90" w:type="dxa"/>
              <w:end w:w="110" w:type="dxa"/>
            </w:tcMar>
            <w:shd w:fill="F7F9FA"/>
          </w:tcPr>
          <w:p>
            <w:pPr>
              <w:spacing w:after="40"/>
            </w:pPr>
            <w:r>
              <w:rPr>
                <w:rFonts w:ascii="Aptos" w:hAnsi="Aptos"/>
                <w:color w:val="1B2733"/>
                <w:sz w:val="16"/>
              </w:rPr>
              <w:t>Dedicated application and worker control</w:t>
            </w:r>
          </w:p>
        </w:tc>
        <w:tc>
          <w:tcPr>
            <w:tcW w:type="dxa" w:w="4320"/>
            <w:vAlign w:val="top"/>
            <w:tcMar>
              <w:top w:w="90" w:type="dxa"/>
              <w:start w:w="110" w:type="dxa"/>
              <w:bottom w:w="90" w:type="dxa"/>
              <w:end w:w="110" w:type="dxa"/>
            </w:tcMar>
            <w:shd w:fill="F7F9FA"/>
          </w:tcPr>
          <w:p>
            <w:pPr>
              <w:spacing w:after="40"/>
            </w:pPr>
            <w:r>
              <w:rPr>
                <w:rFonts w:ascii="Aptos" w:hAnsi="Aptos"/>
                <w:color w:val="1B2733"/>
                <w:sz w:val="16"/>
              </w:rPr>
              <w:t>Reverse proxy, containers/process manager, managed secrets, queue workers, replicas and monitoring</w:t>
            </w:r>
          </w:p>
        </w:tc>
        <w:tc>
          <w:tcPr>
            <w:tcW w:type="dxa" w:w="1440"/>
            <w:vAlign w:val="top"/>
            <w:tcMar>
              <w:top w:w="90" w:type="dxa"/>
              <w:start w:w="110" w:type="dxa"/>
              <w:bottom w:w="90" w:type="dxa"/>
              <w:end w:w="110" w:type="dxa"/>
            </w:tcMar>
            <w:shd w:fill="F7F9FA"/>
          </w:tcPr>
          <w:p>
            <w:pPr>
              <w:spacing w:after="40"/>
            </w:pPr>
            <w:r>
              <w:rPr>
                <w:rFonts w:ascii="Aptos" w:hAnsi="Aptos"/>
                <w:color w:val="1B2733"/>
                <w:sz w:val="16"/>
              </w:rPr>
              <w:t>Multi-region, regulated workload or elasticity requirements</w:t>
            </w:r>
          </w:p>
        </w:tc>
      </w:tr>
      <w:tr>
        <w:tc>
          <w:tcPr>
            <w:tcW w:type="dxa" w:w="1368"/>
            <w:vAlign w:val="top"/>
            <w:tcMar>
              <w:top w:w="90" w:type="dxa"/>
              <w:start w:w="110" w:type="dxa"/>
              <w:bottom w:w="90" w:type="dxa"/>
              <w:end w:w="110" w:type="dxa"/>
            </w:tcMar>
          </w:tcPr>
          <w:p>
            <w:pPr>
              <w:spacing w:after="40"/>
            </w:pPr>
            <w:r>
              <w:rPr>
                <w:rFonts w:ascii="Aptos" w:hAnsi="Aptos"/>
                <w:color w:val="1B2733"/>
                <w:sz w:val="16"/>
              </w:rPr>
              <w:t>Hybrid</w:t>
            </w:r>
          </w:p>
        </w:tc>
        <w:tc>
          <w:tcPr>
            <w:tcW w:type="dxa" w:w="2232"/>
            <w:vAlign w:val="top"/>
            <w:tcMar>
              <w:top w:w="90" w:type="dxa"/>
              <w:start w:w="110" w:type="dxa"/>
              <w:bottom w:w="90" w:type="dxa"/>
              <w:end w:w="110" w:type="dxa"/>
            </w:tcMar>
          </w:tcPr>
          <w:p>
            <w:pPr>
              <w:spacing w:after="40"/>
            </w:pPr>
            <w:r>
              <w:rPr>
                <w:rFonts w:ascii="Aptos" w:hAnsi="Aptos"/>
                <w:color w:val="1B2733"/>
                <w:sz w:val="16"/>
              </w:rPr>
              <w:t>Property continuity and cloud intelligence</w:t>
            </w:r>
          </w:p>
        </w:tc>
        <w:tc>
          <w:tcPr>
            <w:tcW w:type="dxa" w:w="4320"/>
            <w:vAlign w:val="top"/>
            <w:tcMar>
              <w:top w:w="90" w:type="dxa"/>
              <w:start w:w="110" w:type="dxa"/>
              <w:bottom w:w="90" w:type="dxa"/>
              <w:end w:w="110" w:type="dxa"/>
            </w:tcMar>
          </w:tcPr>
          <w:p>
            <w:pPr>
              <w:spacing w:after="40"/>
            </w:pPr>
            <w:r>
              <w:rPr>
                <w:rFonts w:ascii="Aptos" w:hAnsi="Aptos"/>
                <w:color w:val="1B2733"/>
                <w:sz w:val="16"/>
              </w:rPr>
              <w:t>Local bridges/cache for doors, attendance, POS or outage continuity; encrypted central control plane</w:t>
            </w:r>
          </w:p>
        </w:tc>
        <w:tc>
          <w:tcPr>
            <w:tcW w:type="dxa" w:w="1440"/>
            <w:vAlign w:val="top"/>
            <w:tcMar>
              <w:top w:w="90" w:type="dxa"/>
              <w:start w:w="110" w:type="dxa"/>
              <w:bottom w:w="90" w:type="dxa"/>
              <w:end w:w="110" w:type="dxa"/>
            </w:tcMar>
          </w:tcPr>
          <w:p>
            <w:pPr>
              <w:spacing w:after="40"/>
            </w:pPr>
            <w:r>
              <w:rPr>
                <w:rFonts w:ascii="Aptos" w:hAnsi="Aptos"/>
                <w:color w:val="1B2733"/>
                <w:sz w:val="16"/>
              </w:rPr>
              <w:t>Fleet-wide scale and proven recovery patterns</w:t>
            </w:r>
          </w:p>
        </w:tc>
      </w:tr>
      <w:tr>
        <w:tc>
          <w:tcPr>
            <w:tcW w:type="dxa" w:w="1368"/>
            <w:vAlign w:val="top"/>
            <w:tcMar>
              <w:top w:w="90" w:type="dxa"/>
              <w:start w:w="110" w:type="dxa"/>
              <w:bottom w:w="90" w:type="dxa"/>
              <w:end w:w="110" w:type="dxa"/>
            </w:tcMar>
            <w:shd w:fill="F7F9FA"/>
          </w:tcPr>
          <w:p>
            <w:pPr>
              <w:spacing w:after="40"/>
            </w:pPr>
            <w:r>
              <w:rPr>
                <w:rFonts w:ascii="Aptos" w:hAnsi="Aptos"/>
                <w:color w:val="1B2733"/>
                <w:sz w:val="16"/>
              </w:rPr>
              <w:t>Managed cloud</w:t>
            </w:r>
          </w:p>
        </w:tc>
        <w:tc>
          <w:tcPr>
            <w:tcW w:type="dxa" w:w="2232"/>
            <w:vAlign w:val="top"/>
            <w:tcMar>
              <w:top w:w="90" w:type="dxa"/>
              <w:start w:w="110" w:type="dxa"/>
              <w:bottom w:w="90" w:type="dxa"/>
              <w:end w:w="110" w:type="dxa"/>
            </w:tcMar>
            <w:shd w:fill="F7F9FA"/>
          </w:tcPr>
          <w:p>
            <w:pPr>
              <w:spacing w:after="40"/>
            </w:pPr>
            <w:r>
              <w:rPr>
                <w:rFonts w:ascii="Aptos" w:hAnsi="Aptos"/>
                <w:color w:val="1B2733"/>
                <w:sz w:val="16"/>
              </w:rPr>
              <w:t>Regional multi-property SaaS</w:t>
            </w:r>
          </w:p>
        </w:tc>
        <w:tc>
          <w:tcPr>
            <w:tcW w:type="dxa" w:w="4320"/>
            <w:vAlign w:val="top"/>
            <w:tcMar>
              <w:top w:w="90" w:type="dxa"/>
              <w:start w:w="110" w:type="dxa"/>
              <w:bottom w:w="90" w:type="dxa"/>
              <w:end w:w="110" w:type="dxa"/>
            </w:tcMar>
            <w:shd w:fill="F7F9FA"/>
          </w:tcPr>
          <w:p>
            <w:pPr>
              <w:spacing w:after="40"/>
            </w:pPr>
            <w:r>
              <w:rPr>
                <w:rFonts w:ascii="Aptos" w:hAnsi="Aptos"/>
                <w:color w:val="1B2733"/>
                <w:sz w:val="16"/>
              </w:rPr>
              <w:t>Tenant isolation, autoscaling, managed database/queue/storage, WAF, observability and tested disaster recovery</w:t>
            </w:r>
          </w:p>
        </w:tc>
        <w:tc>
          <w:tcPr>
            <w:tcW w:type="dxa" w:w="1440"/>
            <w:vAlign w:val="top"/>
            <w:tcMar>
              <w:top w:w="90" w:type="dxa"/>
              <w:start w:w="110" w:type="dxa"/>
              <w:bottom w:w="90" w:type="dxa"/>
              <w:end w:w="110" w:type="dxa"/>
            </w:tcMar>
            <w:shd w:fill="F7F9FA"/>
          </w:tcPr>
          <w:p>
            <w:pPr>
              <w:spacing w:after="40"/>
            </w:pPr>
            <w:r>
              <w:rPr>
                <w:rFonts w:ascii="Aptos" w:hAnsi="Aptos"/>
                <w:color w:val="1B2733"/>
                <w:sz w:val="16"/>
              </w:rPr>
              <w:t>Continuous optimisation rather than product rewrite</w:t>
            </w:r>
          </w:p>
        </w:tc>
      </w:tr>
    </w:tbl>
    <w:p>
      <w:r>
        <w:br w:type="page"/>
      </w:r>
    </w:p>
    <w:p>
      <w:pPr>
        <w:pStyle w:val="Heading2"/>
      </w:pPr>
      <w:r>
        <w:t>37.10 Multi-property commercialisation</w:t>
      </w:r>
    </w:p>
    <w:p>
      <w:pPr>
        <w:pStyle w:val="ListBullet"/>
        <w:spacing w:after="60" w:line="250" w:lineRule="auto"/>
      </w:pPr>
      <w:r>
        <w:t>Central reservation groups and memberships define which properties can participate in CRS inventory and performance reporting.</w:t>
      </w:r>
    </w:p>
    <w:p>
      <w:pPr>
        <w:pStyle w:val="ListBullet"/>
        <w:spacing w:after="60" w:line="250" w:lineRule="auto"/>
      </w:pPr>
      <w:r>
        <w:t>Each customer receives a tenant, property identity, theme, module entitlements, policies, currency/tax rules, data-retention schedule and connector catalogue.</w:t>
      </w:r>
    </w:p>
    <w:p>
      <w:pPr>
        <w:pStyle w:val="ListBullet"/>
        <w:spacing w:after="60" w:line="250" w:lineRule="auto"/>
      </w:pPr>
      <w:r>
        <w:t>Property data remains isolated; group users receive explicitly delegated cross-property access and every query is scoped.</w:t>
      </w:r>
    </w:p>
    <w:p>
      <w:pPr>
        <w:pStyle w:val="ListBullet"/>
        <w:spacing w:after="60" w:line="250" w:lineRule="auto"/>
      </w:pPr>
      <w:r>
        <w:t>A client launch pack includes discovery, configuration workbook, data mapping, migration rehearsal, training, go-live checklist, support plan and exit/export procedure.</w:t>
      </w:r>
    </w:p>
    <w:p>
      <w:pPr>
        <w:pStyle w:val="ListBullet"/>
        <w:spacing w:after="60" w:line="250" w:lineRule="auto"/>
      </w:pPr>
      <w:r>
        <w:t>Commercial claims use measured outcomes. Statements such as increased revenue or reduced cost must carry baseline, period, method and exclusions.</w:t>
      </w:r>
    </w:p>
    <w:p>
      <w:pPr>
        <w:pStyle w:val="Heading2"/>
      </w:pPr>
      <w:r>
        <w:t>37.11 Sandralia pilot acceptance programme</w:t>
      </w:r>
    </w:p>
    <w:tbl>
      <w:tblPr>
        <w:tblStyle w:val="TableGrid"/>
        <w:tblW w:type="dxa" w:w="9360"/>
        <w:jc w:val="left"/>
        <w:tblLayout w:type="fixed"/>
        <w:tblLook w:firstColumn="1" w:firstRow="1" w:lastColumn="0" w:lastRow="0" w:noHBand="0" w:noVBand="1" w:val="04A0"/>
        <w:tblInd w:type="dxa" w:w="110"/>
      </w:tblPr>
      <w:tblGrid>
        <w:gridCol w:w="1656"/>
        <w:gridCol w:w="5256"/>
        <w:gridCol w:w="2448"/>
      </w:tblGrid>
      <w:tr>
        <w:trPr>
          <w:tblHeader w:val="true"/>
        </w:trPr>
        <w:tc>
          <w:tcPr>
            <w:tcW w:type="dxa" w:w="1656"/>
            <w:vAlign w:val="center"/>
            <w:shd w:fill="10263B"/>
            <w:tcMar>
              <w:top w:w="90" w:type="dxa"/>
              <w:start w:w="110" w:type="dxa"/>
              <w:bottom w:w="90" w:type="dxa"/>
              <w:end w:w="110" w:type="dxa"/>
            </w:tcMar>
          </w:tcPr>
          <w:p>
            <w:r>
              <w:rPr>
                <w:rFonts w:ascii="Aptos" w:hAnsi="Aptos"/>
                <w:b/>
                <w:color w:val="FFFFFF"/>
                <w:sz w:val="17"/>
              </w:rPr>
              <w:t>Gate</w:t>
            </w:r>
          </w:p>
        </w:tc>
        <w:tc>
          <w:tcPr>
            <w:tcW w:type="dxa" w:w="5256"/>
            <w:vAlign w:val="center"/>
            <w:shd w:fill="10263B"/>
            <w:tcMar>
              <w:top w:w="90" w:type="dxa"/>
              <w:start w:w="110" w:type="dxa"/>
              <w:bottom w:w="90" w:type="dxa"/>
              <w:end w:w="110" w:type="dxa"/>
            </w:tcMar>
          </w:tcPr>
          <w:p>
            <w:r>
              <w:rPr>
                <w:rFonts w:ascii="Aptos" w:hAnsi="Aptos"/>
                <w:b/>
                <w:color w:val="FFFFFF"/>
                <w:sz w:val="17"/>
              </w:rPr>
              <w:t>Minimum acceptance evidence</w:t>
            </w:r>
          </w:p>
        </w:tc>
        <w:tc>
          <w:tcPr>
            <w:tcW w:type="dxa" w:w="2448"/>
            <w:vAlign w:val="center"/>
            <w:shd w:fill="10263B"/>
            <w:tcMar>
              <w:top w:w="90" w:type="dxa"/>
              <w:start w:w="110" w:type="dxa"/>
              <w:bottom w:w="90" w:type="dxa"/>
              <w:end w:w="110" w:type="dxa"/>
            </w:tcMar>
          </w:tcPr>
          <w:p>
            <w:r>
              <w:rPr>
                <w:rFonts w:ascii="Aptos" w:hAnsi="Aptos"/>
                <w:b/>
                <w:color w:val="FFFFFF"/>
                <w:sz w:val="17"/>
              </w:rPr>
              <w:t>No-go examples</w:t>
            </w:r>
          </w:p>
        </w:tc>
      </w:tr>
      <w:tr>
        <w:tc>
          <w:tcPr>
            <w:tcW w:type="dxa" w:w="1656"/>
            <w:vAlign w:val="top"/>
            <w:tcMar>
              <w:top w:w="90" w:type="dxa"/>
              <w:start w:w="110" w:type="dxa"/>
              <w:bottom w:w="90" w:type="dxa"/>
              <w:end w:w="110" w:type="dxa"/>
            </w:tcMar>
          </w:tcPr>
          <w:p>
            <w:pPr>
              <w:spacing w:after="40"/>
            </w:pPr>
            <w:r>
              <w:rPr>
                <w:rFonts w:ascii="Aptos" w:hAnsi="Aptos"/>
                <w:color w:val="1B2733"/>
                <w:sz w:val="16"/>
              </w:rPr>
              <w:t>Identity and access</w:t>
            </w:r>
          </w:p>
        </w:tc>
        <w:tc>
          <w:tcPr>
            <w:tcW w:type="dxa" w:w="5256"/>
            <w:vAlign w:val="top"/>
            <w:tcMar>
              <w:top w:w="90" w:type="dxa"/>
              <w:start w:w="110" w:type="dxa"/>
              <w:bottom w:w="90" w:type="dxa"/>
              <w:end w:w="110" w:type="dxa"/>
            </w:tcMar>
          </w:tcPr>
          <w:p>
            <w:pPr>
              <w:spacing w:after="40"/>
            </w:pPr>
            <w:r>
              <w:rPr>
                <w:rFonts w:ascii="Aptos" w:hAnsi="Aptos"/>
                <w:color w:val="1B2733"/>
                <w:sz w:val="16"/>
              </w:rPr>
              <w:t>MFA, least privilege, active property role, departmental scope and break-glass test</w:t>
            </w:r>
          </w:p>
        </w:tc>
        <w:tc>
          <w:tcPr>
            <w:tcW w:type="dxa" w:w="2448"/>
            <w:vAlign w:val="top"/>
            <w:tcMar>
              <w:top w:w="90" w:type="dxa"/>
              <w:start w:w="110" w:type="dxa"/>
              <w:bottom w:w="90" w:type="dxa"/>
              <w:end w:w="110" w:type="dxa"/>
            </w:tcMar>
          </w:tcPr>
          <w:p>
            <w:pPr>
              <w:spacing w:after="40"/>
            </w:pPr>
            <w:r>
              <w:rPr>
                <w:rFonts w:ascii="Aptos" w:hAnsi="Aptos"/>
                <w:color w:val="1B2733"/>
                <w:sz w:val="16"/>
              </w:rPr>
              <w:t>Owner shortcut grants operational powers</w:t>
            </w:r>
          </w:p>
        </w:tc>
      </w:tr>
      <w:tr>
        <w:tc>
          <w:tcPr>
            <w:tcW w:type="dxa" w:w="1656"/>
            <w:vAlign w:val="top"/>
            <w:tcMar>
              <w:top w:w="90" w:type="dxa"/>
              <w:start w:w="110" w:type="dxa"/>
              <w:bottom w:w="90" w:type="dxa"/>
              <w:end w:w="110" w:type="dxa"/>
            </w:tcMar>
            <w:shd w:fill="F7F9FA"/>
          </w:tcPr>
          <w:p>
            <w:pPr>
              <w:spacing w:after="40"/>
            </w:pPr>
            <w:r>
              <w:rPr>
                <w:rFonts w:ascii="Aptos" w:hAnsi="Aptos"/>
                <w:color w:val="1B2733"/>
                <w:sz w:val="16"/>
              </w:rPr>
              <w:t>Inventory and booking</w:t>
            </w:r>
          </w:p>
        </w:tc>
        <w:tc>
          <w:tcPr>
            <w:tcW w:type="dxa" w:w="5256"/>
            <w:vAlign w:val="top"/>
            <w:tcMar>
              <w:top w:w="90" w:type="dxa"/>
              <w:start w:w="110" w:type="dxa"/>
              <w:bottom w:w="90" w:type="dxa"/>
              <w:end w:w="110" w:type="dxa"/>
            </w:tcMar>
            <w:shd w:fill="F7F9FA"/>
          </w:tcPr>
          <w:p>
            <w:pPr>
              <w:spacing w:after="40"/>
            </w:pPr>
            <w:r>
              <w:rPr>
                <w:rFonts w:ascii="Aptos" w:hAnsi="Aptos"/>
                <w:color w:val="1B2733"/>
                <w:sz w:val="16"/>
              </w:rPr>
              <w:t>Dated capacity, hold/confirmation allocation, cancellation release and concurrency test</w:t>
            </w:r>
          </w:p>
        </w:tc>
        <w:tc>
          <w:tcPr>
            <w:tcW w:type="dxa" w:w="2448"/>
            <w:vAlign w:val="top"/>
            <w:tcMar>
              <w:top w:w="90" w:type="dxa"/>
              <w:start w:w="110" w:type="dxa"/>
              <w:bottom w:w="90" w:type="dxa"/>
              <w:end w:w="110" w:type="dxa"/>
            </w:tcMar>
            <w:shd w:fill="F7F9FA"/>
          </w:tcPr>
          <w:p>
            <w:pPr>
              <w:spacing w:after="40"/>
            </w:pPr>
            <w:r>
              <w:rPr>
                <w:rFonts w:ascii="Aptos" w:hAnsi="Aptos"/>
                <w:color w:val="1B2733"/>
                <w:sz w:val="16"/>
              </w:rPr>
              <w:t>Confirmation succeeds without inventory</w:t>
            </w:r>
          </w:p>
        </w:tc>
      </w:tr>
      <w:tr>
        <w:tc>
          <w:tcPr>
            <w:tcW w:type="dxa" w:w="1656"/>
            <w:vAlign w:val="top"/>
            <w:tcMar>
              <w:top w:w="90" w:type="dxa"/>
              <w:start w:w="110" w:type="dxa"/>
              <w:bottom w:w="90" w:type="dxa"/>
              <w:end w:w="110" w:type="dxa"/>
            </w:tcMar>
          </w:tcPr>
          <w:p>
            <w:pPr>
              <w:spacing w:after="40"/>
            </w:pPr>
            <w:r>
              <w:rPr>
                <w:rFonts w:ascii="Aptos" w:hAnsi="Aptos"/>
                <w:color w:val="1B2733"/>
                <w:sz w:val="16"/>
              </w:rPr>
              <w:t>Money and POS</w:t>
            </w:r>
          </w:p>
        </w:tc>
        <w:tc>
          <w:tcPr>
            <w:tcW w:type="dxa" w:w="5256"/>
            <w:vAlign w:val="top"/>
            <w:tcMar>
              <w:top w:w="90" w:type="dxa"/>
              <w:start w:w="110" w:type="dxa"/>
              <w:bottom w:w="90" w:type="dxa"/>
              <w:end w:w="110" w:type="dxa"/>
            </w:tcMar>
          </w:tcPr>
          <w:p>
            <w:pPr>
              <w:spacing w:after="40"/>
            </w:pPr>
            <w:r>
              <w:rPr>
                <w:rFonts w:ascii="Aptos" w:hAnsi="Aptos"/>
                <w:color w:val="1B2733"/>
                <w:sz w:val="16"/>
              </w:rPr>
              <w:t>Server pricing, tax/fee rules, shift control, settlement and balanced reconciliation</w:t>
            </w:r>
          </w:p>
        </w:tc>
        <w:tc>
          <w:tcPr>
            <w:tcW w:type="dxa" w:w="2448"/>
            <w:vAlign w:val="top"/>
            <w:tcMar>
              <w:top w:w="90" w:type="dxa"/>
              <w:start w:w="110" w:type="dxa"/>
              <w:bottom w:w="90" w:type="dxa"/>
              <w:end w:w="110" w:type="dxa"/>
            </w:tcMar>
          </w:tcPr>
          <w:p>
            <w:pPr>
              <w:spacing w:after="40"/>
            </w:pPr>
            <w:r>
              <w:rPr>
                <w:rFonts w:ascii="Aptos" w:hAnsi="Aptos"/>
                <w:color w:val="1B2733"/>
                <w:sz w:val="16"/>
              </w:rPr>
              <w:t>Client controls price or raw card data is stored</w:t>
            </w:r>
          </w:p>
        </w:tc>
      </w:tr>
      <w:tr>
        <w:tc>
          <w:tcPr>
            <w:tcW w:type="dxa" w:w="1656"/>
            <w:vAlign w:val="top"/>
            <w:tcMar>
              <w:top w:w="90" w:type="dxa"/>
              <w:start w:w="110" w:type="dxa"/>
              <w:bottom w:w="90" w:type="dxa"/>
              <w:end w:w="110" w:type="dxa"/>
            </w:tcMar>
            <w:shd w:fill="F7F9FA"/>
          </w:tcPr>
          <w:p>
            <w:pPr>
              <w:spacing w:after="40"/>
            </w:pPr>
            <w:r>
              <w:rPr>
                <w:rFonts w:ascii="Aptos" w:hAnsi="Aptos"/>
                <w:color w:val="1B2733"/>
                <w:sz w:val="16"/>
              </w:rPr>
              <w:t>Publication</w:t>
            </w:r>
          </w:p>
        </w:tc>
        <w:tc>
          <w:tcPr>
            <w:tcW w:type="dxa" w:w="5256"/>
            <w:vAlign w:val="top"/>
            <w:tcMar>
              <w:top w:w="90" w:type="dxa"/>
              <w:start w:w="110" w:type="dxa"/>
              <w:bottom w:w="90" w:type="dxa"/>
              <w:end w:w="110" w:type="dxa"/>
            </w:tcMar>
            <w:shd w:fill="F7F9FA"/>
          </w:tcPr>
          <w:p>
            <w:pPr>
              <w:spacing w:after="40"/>
            </w:pPr>
            <w:r>
              <w:rPr>
                <w:rFonts w:ascii="Aptos" w:hAnsi="Aptos"/>
                <w:color w:val="1B2733"/>
                <w:sz w:val="16"/>
              </w:rPr>
              <w:t>Separate decision, source hash, consent/budget, provider acknowledgement and rollback</w:t>
            </w:r>
          </w:p>
        </w:tc>
        <w:tc>
          <w:tcPr>
            <w:tcW w:type="dxa" w:w="2448"/>
            <w:vAlign w:val="top"/>
            <w:tcMar>
              <w:top w:w="90" w:type="dxa"/>
              <w:start w:w="110" w:type="dxa"/>
              <w:bottom w:w="90" w:type="dxa"/>
              <w:end w:w="110" w:type="dxa"/>
            </w:tcMar>
            <w:shd w:fill="F7F9FA"/>
          </w:tcPr>
          <w:p>
            <w:pPr>
              <w:spacing w:after="40"/>
            </w:pPr>
            <w:r>
              <w:rPr>
                <w:rFonts w:ascii="Aptos" w:hAnsi="Aptos"/>
                <w:color w:val="1B2733"/>
                <w:sz w:val="16"/>
              </w:rPr>
              <w:t>Status flag alone enables external publish</w:t>
            </w:r>
          </w:p>
        </w:tc>
      </w:tr>
      <w:tr>
        <w:tc>
          <w:tcPr>
            <w:tcW w:type="dxa" w:w="1656"/>
            <w:vAlign w:val="top"/>
            <w:tcMar>
              <w:top w:w="90" w:type="dxa"/>
              <w:start w:w="110" w:type="dxa"/>
              <w:bottom w:w="90" w:type="dxa"/>
              <w:end w:w="110" w:type="dxa"/>
            </w:tcMar>
          </w:tcPr>
          <w:p>
            <w:pPr>
              <w:spacing w:after="40"/>
            </w:pPr>
            <w:r>
              <w:rPr>
                <w:rFonts w:ascii="Aptos" w:hAnsi="Aptos"/>
                <w:color w:val="1B2733"/>
                <w:sz w:val="16"/>
              </w:rPr>
              <w:t>Department operations</w:t>
            </w:r>
          </w:p>
        </w:tc>
        <w:tc>
          <w:tcPr>
            <w:tcW w:type="dxa" w:w="5256"/>
            <w:vAlign w:val="top"/>
            <w:tcMar>
              <w:top w:w="90" w:type="dxa"/>
              <w:start w:w="110" w:type="dxa"/>
              <w:bottom w:w="90" w:type="dxa"/>
              <w:end w:w="110" w:type="dxa"/>
            </w:tcMar>
          </w:tcPr>
          <w:p>
            <w:pPr>
              <w:spacing w:after="40"/>
            </w:pPr>
            <w:r>
              <w:rPr>
                <w:rFonts w:ascii="Aptos" w:hAnsi="Aptos"/>
                <w:color w:val="1B2733"/>
                <w:sz w:val="16"/>
              </w:rPr>
              <w:t>Approved runbook, shift assignment, step evidence, exception and manager review</w:t>
            </w:r>
          </w:p>
        </w:tc>
        <w:tc>
          <w:tcPr>
            <w:tcW w:type="dxa" w:w="2448"/>
            <w:vAlign w:val="top"/>
            <w:tcMar>
              <w:top w:w="90" w:type="dxa"/>
              <w:start w:w="110" w:type="dxa"/>
              <w:bottom w:w="90" w:type="dxa"/>
              <w:end w:w="110" w:type="dxa"/>
            </w:tcMar>
          </w:tcPr>
          <w:p>
            <w:pPr>
              <w:spacing w:after="40"/>
            </w:pPr>
            <w:r>
              <w:rPr>
                <w:rFonts w:ascii="Aptos" w:hAnsi="Aptos"/>
                <w:color w:val="1B2733"/>
                <w:sz w:val="16"/>
              </w:rPr>
              <w:t>Paper-only daily process without outage rationale</w:t>
            </w:r>
          </w:p>
        </w:tc>
      </w:tr>
      <w:tr>
        <w:tc>
          <w:tcPr>
            <w:tcW w:type="dxa" w:w="1656"/>
            <w:vAlign w:val="top"/>
            <w:tcMar>
              <w:top w:w="90" w:type="dxa"/>
              <w:start w:w="110" w:type="dxa"/>
              <w:bottom w:w="90" w:type="dxa"/>
              <w:end w:w="110" w:type="dxa"/>
            </w:tcMar>
            <w:shd w:fill="F7F9FA"/>
          </w:tcPr>
          <w:p>
            <w:pPr>
              <w:spacing w:after="40"/>
            </w:pPr>
            <w:r>
              <w:rPr>
                <w:rFonts w:ascii="Aptos" w:hAnsi="Aptos"/>
                <w:color w:val="1B2733"/>
                <w:sz w:val="16"/>
              </w:rPr>
              <w:t>Data and reports</w:t>
            </w:r>
          </w:p>
        </w:tc>
        <w:tc>
          <w:tcPr>
            <w:tcW w:type="dxa" w:w="5256"/>
            <w:vAlign w:val="top"/>
            <w:tcMar>
              <w:top w:w="90" w:type="dxa"/>
              <w:start w:w="110" w:type="dxa"/>
              <w:bottom w:w="90" w:type="dxa"/>
              <w:end w:w="110" w:type="dxa"/>
            </w:tcMar>
            <w:shd w:fill="F7F9FA"/>
          </w:tcPr>
          <w:p>
            <w:pPr>
              <w:spacing w:after="40"/>
            </w:pPr>
            <w:r>
              <w:rPr>
                <w:rFonts w:ascii="Aptos" w:hAnsi="Aptos"/>
                <w:color w:val="1B2733"/>
                <w:sz w:val="16"/>
              </w:rPr>
              <w:t>Metric definition, source, freshness, reconciliation, filter and export permission</w:t>
            </w:r>
          </w:p>
        </w:tc>
        <w:tc>
          <w:tcPr>
            <w:tcW w:type="dxa" w:w="2448"/>
            <w:vAlign w:val="top"/>
            <w:tcMar>
              <w:top w:w="90" w:type="dxa"/>
              <w:start w:w="110" w:type="dxa"/>
              <w:bottom w:w="90" w:type="dxa"/>
              <w:end w:w="110" w:type="dxa"/>
            </w:tcMar>
            <w:shd w:fill="F7F9FA"/>
          </w:tcPr>
          <w:p>
            <w:pPr>
              <w:spacing w:after="40"/>
            </w:pPr>
            <w:r>
              <w:rPr>
                <w:rFonts w:ascii="Aptos" w:hAnsi="Aptos"/>
                <w:color w:val="1B2733"/>
                <w:sz w:val="16"/>
              </w:rPr>
              <w:t>Decorative or invented KPI presented as live</w:t>
            </w:r>
          </w:p>
        </w:tc>
      </w:tr>
      <w:tr>
        <w:tc>
          <w:tcPr>
            <w:tcW w:type="dxa" w:w="1656"/>
            <w:vAlign w:val="top"/>
            <w:tcMar>
              <w:top w:w="90" w:type="dxa"/>
              <w:start w:w="110" w:type="dxa"/>
              <w:bottom w:w="90" w:type="dxa"/>
              <w:end w:w="110" w:type="dxa"/>
            </w:tcMar>
          </w:tcPr>
          <w:p>
            <w:pPr>
              <w:spacing w:after="40"/>
            </w:pPr>
            <w:r>
              <w:rPr>
                <w:rFonts w:ascii="Aptos" w:hAnsi="Aptos"/>
                <w:color w:val="1B2733"/>
                <w:sz w:val="16"/>
              </w:rPr>
              <w:t>Public launch</w:t>
            </w:r>
          </w:p>
        </w:tc>
        <w:tc>
          <w:tcPr>
            <w:tcW w:type="dxa" w:w="5256"/>
            <w:vAlign w:val="top"/>
            <w:tcMar>
              <w:top w:w="90" w:type="dxa"/>
              <w:start w:w="110" w:type="dxa"/>
              <w:bottom w:w="90" w:type="dxa"/>
              <w:end w:w="110" w:type="dxa"/>
            </w:tcMar>
          </w:tcPr>
          <w:p>
            <w:pPr>
              <w:spacing w:after="40"/>
            </w:pPr>
            <w:r>
              <w:rPr>
                <w:rFonts w:ascii="Aptos" w:hAnsi="Aptos"/>
                <w:color w:val="1B2733"/>
                <w:sz w:val="16"/>
              </w:rPr>
              <w:t>Responsive/accessibility check, legal notices, domain, SEO consent and contact/room fact approval</w:t>
            </w:r>
          </w:p>
        </w:tc>
        <w:tc>
          <w:tcPr>
            <w:tcW w:type="dxa" w:w="2448"/>
            <w:vAlign w:val="top"/>
            <w:tcMar>
              <w:top w:w="90" w:type="dxa"/>
              <w:start w:w="110" w:type="dxa"/>
              <w:bottom w:w="90" w:type="dxa"/>
              <w:end w:w="110" w:type="dxa"/>
            </w:tcMar>
          </w:tcPr>
          <w:p>
            <w:pPr>
              <w:spacing w:after="40"/>
            </w:pPr>
            <w:r>
              <w:rPr>
                <w:rFonts w:ascii="Aptos" w:hAnsi="Aptos"/>
                <w:color w:val="1B2733"/>
                <w:sz w:val="16"/>
              </w:rPr>
              <w:t>Unverified star rating or activated tags without consent</w:t>
            </w:r>
          </w:p>
        </w:tc>
      </w:tr>
      <w:tr>
        <w:tc>
          <w:tcPr>
            <w:tcW w:type="dxa" w:w="1656"/>
            <w:vAlign w:val="top"/>
            <w:tcMar>
              <w:top w:w="90" w:type="dxa"/>
              <w:start w:w="110" w:type="dxa"/>
              <w:bottom w:w="90" w:type="dxa"/>
              <w:end w:w="110" w:type="dxa"/>
            </w:tcMar>
            <w:shd w:fill="F7F9FA"/>
          </w:tcPr>
          <w:p>
            <w:pPr>
              <w:spacing w:after="40"/>
            </w:pPr>
            <w:r>
              <w:rPr>
                <w:rFonts w:ascii="Aptos" w:hAnsi="Aptos"/>
                <w:color w:val="1B2733"/>
                <w:sz w:val="16"/>
              </w:rPr>
              <w:t>Recovery and release</w:t>
            </w:r>
          </w:p>
        </w:tc>
        <w:tc>
          <w:tcPr>
            <w:tcW w:type="dxa" w:w="5256"/>
            <w:vAlign w:val="top"/>
            <w:tcMar>
              <w:top w:w="90" w:type="dxa"/>
              <w:start w:w="110" w:type="dxa"/>
              <w:bottom w:w="90" w:type="dxa"/>
              <w:end w:w="110" w:type="dxa"/>
            </w:tcMar>
            <w:shd w:fill="F7F9FA"/>
          </w:tcPr>
          <w:p>
            <w:pPr>
              <w:spacing w:after="40"/>
            </w:pPr>
            <w:r>
              <w:rPr>
                <w:rFonts w:ascii="Aptos" w:hAnsi="Aptos"/>
                <w:color w:val="1B2733"/>
                <w:sz w:val="16"/>
              </w:rPr>
              <w:t>Forward migration, backup/restore, rollback, monitoring and signed checkpoint</w:t>
            </w:r>
          </w:p>
        </w:tc>
        <w:tc>
          <w:tcPr>
            <w:tcW w:type="dxa" w:w="2448"/>
            <w:vAlign w:val="top"/>
            <w:tcMar>
              <w:top w:w="90" w:type="dxa"/>
              <w:start w:w="110" w:type="dxa"/>
              <w:bottom w:w="90" w:type="dxa"/>
              <w:end w:w="110" w:type="dxa"/>
            </w:tcMar>
            <w:shd w:fill="F7F9FA"/>
          </w:tcPr>
          <w:p>
            <w:pPr>
              <w:spacing w:after="40"/>
            </w:pPr>
            <w:r>
              <w:rPr>
                <w:rFonts w:ascii="Aptos" w:hAnsi="Aptos"/>
                <w:color w:val="1B2733"/>
                <w:sz w:val="16"/>
              </w:rPr>
              <w:t>Unrehearsed migration or untraceable deployed source</w:t>
            </w:r>
          </w:p>
        </w:tc>
      </w:tr>
    </w:tbl>
    <w:p>
      <w:pPr>
        <w:pStyle w:val="Heading2"/>
      </w:pPr>
      <w:r>
        <w:t>37.12 Programme metrics</w:t>
      </w:r>
    </w:p>
    <w:tbl>
      <w:tblPr>
        <w:tblStyle w:val="TableGrid"/>
        <w:tblW w:type="dxa" w:w="9360"/>
        <w:jc w:val="left"/>
        <w:tblLayout w:type="fixed"/>
        <w:tblLook w:firstColumn="1" w:firstRow="1" w:lastColumn="0" w:lastRow="0" w:noHBand="0" w:noVBand="1" w:val="04A0"/>
        <w:tblInd w:type="dxa" w:w="110"/>
      </w:tblPr>
      <w:tblGrid>
        <w:gridCol w:w="1728"/>
        <w:gridCol w:w="4680"/>
        <w:gridCol w:w="2952"/>
      </w:tblGrid>
      <w:tr>
        <w:trPr>
          <w:tblHeader w:val="true"/>
          <w:tblHeader w:val="true"/>
          <w:cantSplit/>
        </w:trPr>
        <w:tc>
          <w:tcPr>
            <w:tcW w:type="dxa" w:w="1728"/>
            <w:vAlign w:val="center"/>
            <w:shd w:fill="10263B"/>
            <w:tcMar>
              <w:top w:w="90" w:type="dxa"/>
              <w:start w:w="110" w:type="dxa"/>
              <w:bottom w:w="90" w:type="dxa"/>
              <w:end w:w="110" w:type="dxa"/>
            </w:tcMar>
          </w:tcPr>
          <w:p>
            <w:r>
              <w:rPr>
                <w:rFonts w:ascii="Aptos" w:hAnsi="Aptos"/>
                <w:b/>
                <w:color w:val="FFFFFF"/>
                <w:sz w:val="17"/>
              </w:rPr>
              <w:t>Outcome</w:t>
            </w:r>
          </w:p>
        </w:tc>
        <w:tc>
          <w:tcPr>
            <w:tcW w:type="dxa" w:w="4680"/>
            <w:vAlign w:val="center"/>
            <w:shd w:fill="10263B"/>
            <w:tcMar>
              <w:top w:w="90" w:type="dxa"/>
              <w:start w:w="110" w:type="dxa"/>
              <w:bottom w:w="90" w:type="dxa"/>
              <w:end w:w="110" w:type="dxa"/>
            </w:tcMar>
          </w:tcPr>
          <w:p>
            <w:r>
              <w:rPr>
                <w:rFonts w:ascii="Aptos" w:hAnsi="Aptos"/>
                <w:b/>
                <w:color w:val="FFFFFF"/>
                <w:sz w:val="17"/>
              </w:rPr>
              <w:t>Metric</w:t>
            </w:r>
          </w:p>
        </w:tc>
        <w:tc>
          <w:tcPr>
            <w:tcW w:type="dxa" w:w="2952"/>
            <w:vAlign w:val="center"/>
            <w:shd w:fill="10263B"/>
            <w:tcMar>
              <w:top w:w="90" w:type="dxa"/>
              <w:start w:w="110" w:type="dxa"/>
              <w:bottom w:w="90" w:type="dxa"/>
              <w:end w:w="110" w:type="dxa"/>
            </w:tcMar>
          </w:tcPr>
          <w:p>
            <w:r>
              <w:rPr>
                <w:rFonts w:ascii="Aptos" w:hAnsi="Aptos"/>
                <w:b/>
                <w:color w:val="FFFFFF"/>
                <w:sz w:val="17"/>
              </w:rPr>
              <w:t>Definition discipline</w:t>
            </w:r>
          </w:p>
        </w:tc>
      </w:tr>
      <w:tr>
        <w:trPr>
          <w:cantSplit/>
        </w:trPr>
        <w:tc>
          <w:tcPr>
            <w:tcW w:type="dxa" w:w="1728"/>
            <w:vAlign w:val="top"/>
            <w:tcMar>
              <w:top w:w="90" w:type="dxa"/>
              <w:start w:w="110" w:type="dxa"/>
              <w:bottom w:w="90" w:type="dxa"/>
              <w:end w:w="110" w:type="dxa"/>
            </w:tcMar>
          </w:tcPr>
          <w:p>
            <w:pPr>
              <w:spacing w:after="40"/>
            </w:pPr>
            <w:r>
              <w:rPr>
                <w:rFonts w:ascii="Aptos" w:hAnsi="Aptos"/>
                <w:color w:val="1B2733"/>
                <w:sz w:val="16"/>
              </w:rPr>
              <w:t>Distribution reliability</w:t>
            </w:r>
          </w:p>
        </w:tc>
        <w:tc>
          <w:tcPr>
            <w:tcW w:type="dxa" w:w="4680"/>
            <w:vAlign w:val="top"/>
            <w:tcMar>
              <w:top w:w="90" w:type="dxa"/>
              <w:start w:w="110" w:type="dxa"/>
              <w:bottom w:w="90" w:type="dxa"/>
              <w:end w:w="110" w:type="dxa"/>
            </w:tcMar>
          </w:tcPr>
          <w:p>
            <w:pPr>
              <w:spacing w:after="40"/>
            </w:pPr>
            <w:r>
              <w:rPr>
                <w:rFonts w:ascii="Aptos" w:hAnsi="Aptos"/>
                <w:color w:val="1B2733"/>
                <w:sz w:val="16"/>
              </w:rPr>
              <w:t>Acknowledged sync success, latency, stale inventory and reconciliation exceptions</w:t>
            </w:r>
          </w:p>
        </w:tc>
        <w:tc>
          <w:tcPr>
            <w:tcW w:type="dxa" w:w="2952"/>
            <w:vAlign w:val="top"/>
            <w:tcMar>
              <w:top w:w="90" w:type="dxa"/>
              <w:start w:w="110" w:type="dxa"/>
              <w:bottom w:w="90" w:type="dxa"/>
              <w:end w:w="110" w:type="dxa"/>
            </w:tcMar>
          </w:tcPr>
          <w:p>
            <w:pPr>
              <w:spacing w:after="40"/>
            </w:pPr>
            <w:r>
              <w:rPr>
                <w:rFonts w:ascii="Aptos" w:hAnsi="Aptos"/>
                <w:color w:val="1B2733"/>
                <w:sz w:val="16"/>
              </w:rPr>
              <w:t>Measure by provider, direction, property and time window</w:t>
            </w:r>
          </w:p>
        </w:tc>
      </w:tr>
      <w:tr>
        <w:trPr>
          <w:cantSplit/>
        </w:trPr>
        <w:tc>
          <w:tcPr>
            <w:tcW w:type="dxa" w:w="1728"/>
            <w:vAlign w:val="top"/>
            <w:tcMar>
              <w:top w:w="90" w:type="dxa"/>
              <w:start w:w="110" w:type="dxa"/>
              <w:bottom w:w="90" w:type="dxa"/>
              <w:end w:w="110" w:type="dxa"/>
            </w:tcMar>
            <w:shd w:fill="F7F9FA"/>
          </w:tcPr>
          <w:p>
            <w:pPr>
              <w:spacing w:after="40"/>
            </w:pPr>
            <w:r>
              <w:rPr>
                <w:rFonts w:ascii="Aptos" w:hAnsi="Aptos"/>
                <w:color w:val="1B2733"/>
                <w:sz w:val="16"/>
              </w:rPr>
              <w:t>Direct demand</w:t>
            </w:r>
          </w:p>
        </w:tc>
        <w:tc>
          <w:tcPr>
            <w:tcW w:type="dxa" w:w="4680"/>
            <w:vAlign w:val="top"/>
            <w:tcMar>
              <w:top w:w="90" w:type="dxa"/>
              <w:start w:w="110" w:type="dxa"/>
              <w:bottom w:w="90" w:type="dxa"/>
              <w:end w:w="110" w:type="dxa"/>
            </w:tcMar>
            <w:shd w:fill="F7F9FA"/>
          </w:tcPr>
          <w:p>
            <w:pPr>
              <w:spacing w:after="40"/>
            </w:pPr>
            <w:r>
              <w:rPr>
                <w:rFonts w:ascii="Aptos" w:hAnsi="Aptos"/>
                <w:color w:val="1B2733"/>
                <w:sz w:val="16"/>
              </w:rPr>
              <w:t>Search-to-room, room-to-checkout and checkout-to-confirmed conversion</w:t>
            </w:r>
          </w:p>
        </w:tc>
        <w:tc>
          <w:tcPr>
            <w:tcW w:type="dxa" w:w="2952"/>
            <w:vAlign w:val="top"/>
            <w:tcMar>
              <w:top w:w="90" w:type="dxa"/>
              <w:start w:w="110" w:type="dxa"/>
              <w:bottom w:w="90" w:type="dxa"/>
              <w:end w:w="110" w:type="dxa"/>
            </w:tcMar>
            <w:shd w:fill="F7F9FA"/>
          </w:tcPr>
          <w:p>
            <w:pPr>
              <w:spacing w:after="40"/>
            </w:pPr>
            <w:r>
              <w:rPr>
                <w:rFonts w:ascii="Aptos" w:hAnsi="Aptos"/>
                <w:color w:val="1B2733"/>
                <w:sz w:val="16"/>
              </w:rPr>
              <w:t>Exclude controlled demo and failed/expired holds</w:t>
            </w:r>
          </w:p>
        </w:tc>
      </w:tr>
      <w:tr>
        <w:trPr>
          <w:cantSplit/>
        </w:trPr>
        <w:tc>
          <w:tcPr>
            <w:tcW w:type="dxa" w:w="1728"/>
            <w:vAlign w:val="top"/>
            <w:tcMar>
              <w:top w:w="90" w:type="dxa"/>
              <w:start w:w="110" w:type="dxa"/>
              <w:bottom w:w="90" w:type="dxa"/>
              <w:end w:w="110" w:type="dxa"/>
            </w:tcMar>
          </w:tcPr>
          <w:p>
            <w:pPr>
              <w:spacing w:after="40"/>
            </w:pPr>
            <w:r>
              <w:rPr>
                <w:rFonts w:ascii="Aptos" w:hAnsi="Aptos"/>
                <w:color w:val="1B2733"/>
                <w:sz w:val="16"/>
              </w:rPr>
              <w:t>Hotel performance</w:t>
            </w:r>
          </w:p>
        </w:tc>
        <w:tc>
          <w:tcPr>
            <w:tcW w:type="dxa" w:w="4680"/>
            <w:vAlign w:val="top"/>
            <w:tcMar>
              <w:top w:w="90" w:type="dxa"/>
              <w:start w:w="110" w:type="dxa"/>
              <w:bottom w:w="90" w:type="dxa"/>
              <w:end w:w="110" w:type="dxa"/>
            </w:tcMar>
          </w:tcPr>
          <w:p>
            <w:pPr>
              <w:spacing w:after="40"/>
            </w:pPr>
            <w:r>
              <w:rPr>
                <w:rFonts w:ascii="Aptos" w:hAnsi="Aptos"/>
                <w:color w:val="1B2733"/>
                <w:sz w:val="16"/>
              </w:rPr>
              <w:t>Occupancy, ADR, RevPAR, net channel revenue and contribution</w:t>
            </w:r>
          </w:p>
        </w:tc>
        <w:tc>
          <w:tcPr>
            <w:tcW w:type="dxa" w:w="2952"/>
            <w:vAlign w:val="top"/>
            <w:tcMar>
              <w:top w:w="90" w:type="dxa"/>
              <w:start w:w="110" w:type="dxa"/>
              <w:bottom w:w="90" w:type="dxa"/>
              <w:end w:w="110" w:type="dxa"/>
            </w:tcMar>
          </w:tcPr>
          <w:p>
            <w:pPr>
              <w:spacing w:after="40"/>
            </w:pPr>
            <w:r>
              <w:rPr>
                <w:rFonts w:ascii="Aptos" w:hAnsi="Aptos"/>
                <w:color w:val="1B2733"/>
                <w:sz w:val="16"/>
              </w:rPr>
              <w:t>Use recognised amounts and disclose commissions/refunds</w:t>
            </w:r>
          </w:p>
        </w:tc>
      </w:tr>
      <w:tr>
        <w:trPr>
          <w:cantSplit/>
        </w:trPr>
        <w:tc>
          <w:tcPr>
            <w:tcW w:type="dxa" w:w="1728"/>
            <w:vAlign w:val="top"/>
            <w:tcMar>
              <w:top w:w="90" w:type="dxa"/>
              <w:start w:w="110" w:type="dxa"/>
              <w:bottom w:w="90" w:type="dxa"/>
              <w:end w:w="110" w:type="dxa"/>
            </w:tcMar>
            <w:shd w:fill="F7F9FA"/>
          </w:tcPr>
          <w:p>
            <w:pPr>
              <w:spacing w:after="40"/>
            </w:pPr>
            <w:r>
              <w:rPr>
                <w:rFonts w:ascii="Aptos" w:hAnsi="Aptos"/>
                <w:color w:val="1B2733"/>
                <w:sz w:val="16"/>
              </w:rPr>
              <w:t>Guest service</w:t>
            </w:r>
          </w:p>
        </w:tc>
        <w:tc>
          <w:tcPr>
            <w:tcW w:type="dxa" w:w="4680"/>
            <w:vAlign w:val="top"/>
            <w:tcMar>
              <w:top w:w="90" w:type="dxa"/>
              <w:start w:w="110" w:type="dxa"/>
              <w:bottom w:w="90" w:type="dxa"/>
              <w:end w:w="110" w:type="dxa"/>
            </w:tcMar>
            <w:shd w:fill="F7F9FA"/>
          </w:tcPr>
          <w:p>
            <w:pPr>
              <w:spacing w:after="40"/>
            </w:pPr>
            <w:r>
              <w:rPr>
                <w:rFonts w:ascii="Aptos" w:hAnsi="Aptos"/>
                <w:color w:val="1B2733"/>
                <w:sz w:val="16"/>
              </w:rPr>
              <w:t>First response, resolution, SLA miss, recovery and satisfaction</w:t>
            </w:r>
          </w:p>
        </w:tc>
        <w:tc>
          <w:tcPr>
            <w:tcW w:type="dxa" w:w="2952"/>
            <w:vAlign w:val="top"/>
            <w:tcMar>
              <w:top w:w="90" w:type="dxa"/>
              <w:start w:w="110" w:type="dxa"/>
              <w:bottom w:w="90" w:type="dxa"/>
              <w:end w:w="110" w:type="dxa"/>
            </w:tcMar>
            <w:shd w:fill="F7F9FA"/>
          </w:tcPr>
          <w:p>
            <w:pPr>
              <w:spacing w:after="40"/>
            </w:pPr>
            <w:r>
              <w:rPr>
                <w:rFonts w:ascii="Aptos" w:hAnsi="Aptos"/>
                <w:color w:val="1B2733"/>
                <w:sz w:val="16"/>
              </w:rPr>
              <w:t>Segment by channel/language without exposing direct identifiers</w:t>
            </w:r>
          </w:p>
        </w:tc>
      </w:tr>
      <w:tr>
        <w:trPr>
          <w:cantSplit/>
        </w:trPr>
        <w:tc>
          <w:tcPr>
            <w:tcW w:type="dxa" w:w="1728"/>
            <w:vAlign w:val="top"/>
            <w:tcMar>
              <w:top w:w="90" w:type="dxa"/>
              <w:start w:w="110" w:type="dxa"/>
              <w:bottom w:w="90" w:type="dxa"/>
              <w:end w:w="110" w:type="dxa"/>
            </w:tcMar>
          </w:tcPr>
          <w:p>
            <w:pPr>
              <w:spacing w:after="40"/>
            </w:pPr>
            <w:r>
              <w:rPr>
                <w:rFonts w:ascii="Aptos" w:hAnsi="Aptos"/>
                <w:color w:val="1B2733"/>
                <w:sz w:val="16"/>
              </w:rPr>
              <w:t>F&amp;B operations</w:t>
            </w:r>
          </w:p>
        </w:tc>
        <w:tc>
          <w:tcPr>
            <w:tcW w:type="dxa" w:w="4680"/>
            <w:vAlign w:val="top"/>
            <w:tcMar>
              <w:top w:w="90" w:type="dxa"/>
              <w:start w:w="110" w:type="dxa"/>
              <w:bottom w:w="90" w:type="dxa"/>
              <w:end w:w="110" w:type="dxa"/>
            </w:tcMar>
          </w:tcPr>
          <w:p>
            <w:pPr>
              <w:spacing w:after="40"/>
            </w:pPr>
            <w:r>
              <w:rPr>
                <w:rFonts w:ascii="Aptos" w:hAnsi="Aptos"/>
                <w:color w:val="1B2733"/>
                <w:sz w:val="16"/>
              </w:rPr>
              <w:t>Acceptance, preparation, dispatch, delivery, cancellation, void and waste</w:t>
            </w:r>
          </w:p>
        </w:tc>
        <w:tc>
          <w:tcPr>
            <w:tcW w:type="dxa" w:w="2952"/>
            <w:vAlign w:val="top"/>
            <w:tcMar>
              <w:top w:w="90" w:type="dxa"/>
              <w:start w:w="110" w:type="dxa"/>
              <w:bottom w:w="90" w:type="dxa"/>
              <w:end w:w="110" w:type="dxa"/>
            </w:tcMar>
          </w:tcPr>
          <w:p>
            <w:pPr>
              <w:spacing w:after="40"/>
            </w:pPr>
            <w:r>
              <w:rPr>
                <w:rFonts w:ascii="Aptos" w:hAnsi="Aptos"/>
                <w:color w:val="1B2733"/>
                <w:sz w:val="16"/>
              </w:rPr>
              <w:t>Server timestamps and station ownership</w:t>
            </w:r>
          </w:p>
        </w:tc>
      </w:tr>
      <w:tr>
        <w:trPr>
          <w:cantSplit/>
        </w:trPr>
        <w:tc>
          <w:tcPr>
            <w:tcW w:type="dxa" w:w="1728"/>
            <w:vAlign w:val="top"/>
            <w:tcMar>
              <w:top w:w="90" w:type="dxa"/>
              <w:start w:w="110" w:type="dxa"/>
              <w:bottom w:w="90" w:type="dxa"/>
              <w:end w:w="110" w:type="dxa"/>
            </w:tcMar>
            <w:shd w:fill="F7F9FA"/>
          </w:tcPr>
          <w:p>
            <w:pPr>
              <w:spacing w:after="40"/>
            </w:pPr>
            <w:r>
              <w:rPr>
                <w:rFonts w:ascii="Aptos" w:hAnsi="Aptos"/>
                <w:color w:val="1B2733"/>
                <w:sz w:val="16"/>
              </w:rPr>
              <w:t>Paper-to-digital adoption</w:t>
            </w:r>
          </w:p>
        </w:tc>
        <w:tc>
          <w:tcPr>
            <w:tcW w:type="dxa" w:w="4680"/>
            <w:vAlign w:val="top"/>
            <w:tcMar>
              <w:top w:w="90" w:type="dxa"/>
              <w:start w:w="110" w:type="dxa"/>
              <w:bottom w:w="90" w:type="dxa"/>
              <w:end w:w="110" w:type="dxa"/>
            </w:tcMar>
            <w:shd w:fill="F7F9FA"/>
          </w:tcPr>
          <w:p>
            <w:pPr>
              <w:spacing w:after="40"/>
            </w:pPr>
            <w:r>
              <w:rPr>
                <w:rFonts w:ascii="Aptos" w:hAnsi="Aptos"/>
                <w:color w:val="1B2733"/>
                <w:sz w:val="16"/>
              </w:rPr>
              <w:t>Eligible workflows executed digitally and reconciled exceptions</w:t>
            </w:r>
          </w:p>
        </w:tc>
        <w:tc>
          <w:tcPr>
            <w:tcW w:type="dxa" w:w="2952"/>
            <w:vAlign w:val="top"/>
            <w:tcMar>
              <w:top w:w="90" w:type="dxa"/>
              <w:start w:w="110" w:type="dxa"/>
              <w:bottom w:w="90" w:type="dxa"/>
              <w:end w:w="110" w:type="dxa"/>
            </w:tcMar>
            <w:shd w:fill="F7F9FA"/>
          </w:tcPr>
          <w:p>
            <w:pPr>
              <w:spacing w:after="40"/>
            </w:pPr>
            <w:r>
              <w:rPr>
                <w:rFonts w:ascii="Aptos" w:hAnsi="Aptos"/>
                <w:color w:val="1B2733"/>
                <w:sz w:val="16"/>
              </w:rPr>
              <w:t>Do not count legal/outage continuity forms as failure</w:t>
            </w:r>
          </w:p>
        </w:tc>
      </w:tr>
      <w:tr>
        <w:trPr>
          <w:cantSplit/>
        </w:trPr>
        <w:tc>
          <w:tcPr>
            <w:tcW w:type="dxa" w:w="1728"/>
            <w:vAlign w:val="top"/>
            <w:tcMar>
              <w:top w:w="90" w:type="dxa"/>
              <w:start w:w="110" w:type="dxa"/>
              <w:bottom w:w="90" w:type="dxa"/>
              <w:end w:w="110" w:type="dxa"/>
            </w:tcMar>
          </w:tcPr>
          <w:p>
            <w:pPr>
              <w:spacing w:after="40"/>
            </w:pPr>
            <w:r>
              <w:rPr>
                <w:rFonts w:ascii="Aptos" w:hAnsi="Aptos"/>
                <w:color w:val="1B2733"/>
                <w:sz w:val="16"/>
              </w:rPr>
              <w:t>AI quality</w:t>
            </w:r>
          </w:p>
        </w:tc>
        <w:tc>
          <w:tcPr>
            <w:tcW w:type="dxa" w:w="4680"/>
            <w:vAlign w:val="top"/>
            <w:tcMar>
              <w:top w:w="90" w:type="dxa"/>
              <w:start w:w="110" w:type="dxa"/>
              <w:bottom w:w="90" w:type="dxa"/>
              <w:end w:w="110" w:type="dxa"/>
            </w:tcMar>
          </w:tcPr>
          <w:p>
            <w:pPr>
              <w:spacing w:after="40"/>
            </w:pPr>
            <w:r>
              <w:rPr>
                <w:rFonts w:ascii="Aptos" w:hAnsi="Aptos"/>
                <w:color w:val="1B2733"/>
                <w:sz w:val="16"/>
              </w:rPr>
              <w:t>Acceptance, correction, groundedness, policy breach and rollback</w:t>
            </w:r>
          </w:p>
        </w:tc>
        <w:tc>
          <w:tcPr>
            <w:tcW w:type="dxa" w:w="2952"/>
            <w:vAlign w:val="top"/>
            <w:tcMar>
              <w:top w:w="90" w:type="dxa"/>
              <w:start w:w="110" w:type="dxa"/>
              <w:bottom w:w="90" w:type="dxa"/>
              <w:end w:w="110" w:type="dxa"/>
            </w:tcMar>
          </w:tcPr>
          <w:p>
            <w:pPr>
              <w:spacing w:after="40"/>
            </w:pPr>
            <w:r>
              <w:rPr>
                <w:rFonts w:ascii="Aptos" w:hAnsi="Aptos"/>
                <w:color w:val="1B2733"/>
                <w:sz w:val="16"/>
              </w:rPr>
              <w:t>Version by model, prompt, tool and evaluation set</w:t>
            </w:r>
          </w:p>
        </w:tc>
      </w:tr>
    </w:tbl>
    <w:p>
      <w:pPr>
        <w:pStyle w:val="Heading2"/>
      </w:pPr>
      <w:r>
        <w:t>37.13 Controlled dependencies and open decisions</w:t>
      </w:r>
    </w:p>
    <w:p>
      <w:pPr>
        <w:pStyle w:val="ListBullet"/>
        <w:spacing w:after="60" w:line="250" w:lineRule="auto"/>
      </w:pPr>
      <w:r>
        <w:t>Confirm Sandralia room inventory, active rates, taxes, fees, cancellation and payment policies before enabling public checkout.</w:t>
      </w:r>
    </w:p>
    <w:p>
      <w:pPr>
        <w:pStyle w:val="ListBullet"/>
        <w:spacing w:after="60" w:line="250" w:lineRule="auto"/>
      </w:pPr>
      <w:r>
        <w:t>Execute OTA/channel-manager agreements and obtain sandbox/production credentials, webhook rules and certification requirements.</w:t>
      </w:r>
    </w:p>
    <w:p>
      <w:pPr>
        <w:pStyle w:val="ListBullet"/>
        <w:spacing w:after="60" w:line="250" w:lineRule="auto"/>
      </w:pPr>
      <w:r>
        <w:t>Select PCI-compliant payment providers and local methods; complete settlement, refund, dispute and reconciliation design.</w:t>
      </w:r>
    </w:p>
    <w:p>
      <w:pPr>
        <w:pStyle w:val="ListBullet"/>
        <w:spacing w:after="60" w:line="250" w:lineRule="auto"/>
      </w:pPr>
      <w:r>
        <w:t>Approve Google property IDs, canonical production domain, consent categories, privacy notice and advertising eligibility before indexing or tag activation.</w:t>
      </w:r>
    </w:p>
    <w:p>
      <w:pPr>
        <w:pStyle w:val="ListBullet"/>
        <w:spacing w:after="60" w:line="250" w:lineRule="auto"/>
      </w:pPr>
      <w:r>
        <w:t>Approve departmental owners, runbooks, delegation thresholds, retention classes, escalation paths and outage continuity forms.</w:t>
      </w:r>
    </w:p>
    <w:p>
      <w:pPr>
        <w:pStyle w:val="ListBullet"/>
        <w:spacing w:after="60" w:line="250" w:lineRule="auto"/>
      </w:pPr>
      <w:r>
        <w:t>Confirm service-level, recovery, data-residency and commercial terms for translation, AI, messaging, ads and reputation providers.</w:t>
      </w:r>
    </w:p>
    <w:p>
      <w:r>
        <w:br w:type="page"/>
      </w:r>
    </w:p>
    <w:p>
      <w:pPr>
        <w:pStyle w:val="Heading2"/>
        <w:keepNext/>
      </w:pPr>
      <w:r>
        <w:t>37.14 RAHIS v8.3 Controlled Consolidated Release Candidate</w:t>
      </w:r>
    </w:p>
    <w:p>
      <w:r>
        <w:t>Programme record: RAHIS has advanced through a v8.1 controlled operating core and two v8.2 components. Version 8.3 consolidates their product and activation governance; it does not claim that live payment, OTA, hardware, hotel-network or Sentinel production connections are commissioned.</w:t>
      </w:r>
    </w:p>
    <w:tbl>
      <w:tblPr>
        <w:tblStyle w:val="TableGrid"/>
        <w:tblW w:type="auto" w:w="0"/>
        <w:tblLayout w:type="fixed"/>
        <w:tblLook w:firstColumn="1" w:firstRow="1" w:lastColumn="0" w:lastRow="0" w:noHBand="0" w:noVBand="1" w:val="04A0"/>
      </w:tblPr>
      <w:tblGrid>
        <w:gridCol w:w="3120"/>
        <w:gridCol w:w="3120"/>
        <w:gridCol w:w="3120"/>
      </w:tblGrid>
      <w:tr>
        <w:trPr>
          <w:cantSplit/>
          <w:tblHeader w:val="true"/>
        </w:trPr>
        <w:tc>
          <w:tcPr>
            <w:tcW w:type="dxa" w:w="1656"/>
            <w:vAlign w:val="center"/>
            <w:shd w:fill="102A43"/>
          </w:tcPr>
          <w:p>
            <w:pPr>
              <w:keepLines/>
              <w:spacing w:after="40" w:before="40"/>
            </w:pPr>
            <w:r>
              <w:rPr>
                <w:b/>
                <w:color w:val="FFFFFF"/>
                <w:sz w:val="17"/>
              </w:rPr>
              <w:t>Release fact</w:t>
            </w:r>
          </w:p>
        </w:tc>
        <w:tc>
          <w:tcPr>
            <w:tcW w:type="dxa" w:w="5256"/>
            <w:vAlign w:val="center"/>
            <w:shd w:fill="102A43"/>
          </w:tcPr>
          <w:p>
            <w:pPr>
              <w:keepLines/>
              <w:spacing w:after="40" w:before="40"/>
            </w:pPr>
            <w:r>
              <w:rPr>
                <w:b/>
                <w:color w:val="FFFFFF"/>
                <w:sz w:val="17"/>
              </w:rPr>
              <w:t>Controlled value</w:t>
            </w:r>
          </w:p>
        </w:tc>
        <w:tc>
          <w:tcPr>
            <w:tcW w:type="dxa" w:w="3168"/>
            <w:vAlign w:val="center"/>
            <w:shd w:fill="102A43"/>
          </w:tcPr>
          <w:p>
            <w:pPr>
              <w:keepLines/>
              <w:spacing w:after="40" w:before="40"/>
            </w:pPr>
            <w:r>
              <w:rPr>
                <w:b/>
                <w:color w:val="FFFFFF"/>
                <w:sz w:val="17"/>
              </w:rPr>
              <w:t>Decision significance</w:t>
            </w:r>
          </w:p>
        </w:tc>
      </w:tr>
      <w:tr>
        <w:trPr>
          <w:cantSplit/>
        </w:trPr>
        <w:tc>
          <w:tcPr>
            <w:tcW w:type="dxa" w:w="1656"/>
            <w:vAlign w:val="center"/>
          </w:tcPr>
          <w:p>
            <w:pPr>
              <w:keepLines/>
              <w:spacing w:after="40" w:before="40"/>
            </w:pPr>
            <w:r>
              <w:rPr>
                <w:color w:val="1F2D3D"/>
                <w:sz w:val="17"/>
              </w:rPr>
              <w:t>Release</w:t>
            </w:r>
          </w:p>
        </w:tc>
        <w:tc>
          <w:tcPr>
            <w:tcW w:type="dxa" w:w="5256"/>
            <w:vAlign w:val="center"/>
          </w:tcPr>
          <w:p>
            <w:pPr>
              <w:keepLines/>
              <w:spacing w:after="40" w:before="40"/>
            </w:pPr>
            <w:r>
              <w:rPr>
                <w:color w:val="1F2D3D"/>
                <w:sz w:val="17"/>
              </w:rPr>
              <w:t>RAHIS v8.3.0 controlled consolidated integration candidate</w:t>
            </w:r>
          </w:p>
        </w:tc>
        <w:tc>
          <w:tcPr>
            <w:tcW w:type="dxa" w:w="3168"/>
            <w:vAlign w:val="center"/>
          </w:tcPr>
          <w:p>
            <w:pPr>
              <w:keepLines/>
              <w:spacing w:after="40" w:before="40"/>
            </w:pPr>
            <w:r>
              <w:rPr>
                <w:color w:val="1F2D3D"/>
                <w:sz w:val="17"/>
              </w:rPr>
              <w:t>Consolidates the v8.1 operating core, v8.2 Paystack test adapter and v8.2 Sentinel overlay without changing their maturity labels.</w:t>
            </w:r>
          </w:p>
        </w:tc>
      </w:tr>
      <w:tr>
        <w:trPr>
          <w:cantSplit/>
        </w:trPr>
        <w:tc>
          <w:tcPr>
            <w:tcW w:type="dxa" w:w="1656"/>
            <w:vAlign w:val="center"/>
            <w:shd w:fill="F3F6F8"/>
          </w:tcPr>
          <w:p>
            <w:pPr>
              <w:keepLines/>
              <w:spacing w:after="40" w:before="40"/>
            </w:pPr>
            <w:r>
              <w:rPr>
                <w:color w:val="1F2D3D"/>
                <w:sz w:val="17"/>
              </w:rPr>
              <w:t>Deployment</w:t>
            </w:r>
          </w:p>
        </w:tc>
        <w:tc>
          <w:tcPr>
            <w:tcW w:type="dxa" w:w="5256"/>
            <w:vAlign w:val="center"/>
            <w:shd w:fill="F3F6F8"/>
          </w:tcPr>
          <w:p>
            <w:pPr>
              <w:keepLines/>
              <w:spacing w:after="40" w:before="40"/>
            </w:pPr>
            <w:r>
              <w:rPr>
                <w:color w:val="1F2D3D"/>
                <w:sz w:val="17"/>
              </w:rPr>
              <w:t>OpenAI Sites application delivery and D1 controlled data; repository commit 1abda50b1c07706ba79b10a63e92ce66344eaab8</w:t>
            </w:r>
          </w:p>
        </w:tc>
        <w:tc>
          <w:tcPr>
            <w:tcW w:type="dxa" w:w="3168"/>
            <w:vAlign w:val="center"/>
            <w:shd w:fill="F3F6F8"/>
          </w:tcPr>
          <w:p>
            <w:pPr>
              <w:keepLines/>
              <w:spacing w:after="40" w:before="40"/>
            </w:pPr>
            <w:r>
              <w:rPr>
                <w:color w:val="1F2D3D"/>
                <w:sz w:val="17"/>
              </w:rPr>
              <w:t>The source baseline is traceable; the production deployment identifier and post-deployment checks must be recorded separately.</w:t>
            </w:r>
          </w:p>
        </w:tc>
      </w:tr>
      <w:tr>
        <w:trPr>
          <w:cantSplit/>
        </w:trPr>
        <w:tc>
          <w:tcPr>
            <w:tcW w:type="dxa" w:w="1656"/>
            <w:vAlign w:val="center"/>
          </w:tcPr>
          <w:p>
            <w:pPr>
              <w:keepLines/>
              <w:spacing w:after="40" w:before="40"/>
            </w:pPr>
            <w:r>
              <w:rPr>
                <w:color w:val="1F2D3D"/>
                <w:sz w:val="17"/>
              </w:rPr>
              <w:t>Access</w:t>
            </w:r>
          </w:p>
        </w:tc>
        <w:tc>
          <w:tcPr>
            <w:tcW w:type="dxa" w:w="5256"/>
            <w:vAlign w:val="center"/>
          </w:tcPr>
          <w:p>
            <w:pPr>
              <w:keepLines/>
              <w:spacing w:after="40" w:before="40"/>
            </w:pPr>
            <w:r>
              <w:rPr>
                <w:color w:val="1F2D3D"/>
                <w:sz w:val="17"/>
              </w:rPr>
              <w:t>Protected administration and explicitly authorised tenant/property roles</w:t>
            </w:r>
          </w:p>
        </w:tc>
        <w:tc>
          <w:tcPr>
            <w:tcW w:type="dxa" w:w="3168"/>
            <w:vAlign w:val="center"/>
          </w:tcPr>
          <w:p>
            <w:pPr>
              <w:keepLines/>
              <w:spacing w:after="40" w:before="40"/>
            </w:pPr>
            <w:r>
              <w:rPr>
                <w:color w:val="1F2D3D"/>
                <w:sz w:val="17"/>
              </w:rPr>
              <w:t>Protected access does not by itself establish hotel workforce IAM or public production.</w:t>
            </w:r>
          </w:p>
        </w:tc>
      </w:tr>
      <w:tr>
        <w:trPr>
          <w:cantSplit/>
        </w:trPr>
        <w:tc>
          <w:tcPr>
            <w:tcW w:type="dxa" w:w="1656"/>
            <w:vAlign w:val="center"/>
            <w:shd w:fill="F3F6F8"/>
          </w:tcPr>
          <w:p>
            <w:pPr>
              <w:keepLines/>
              <w:spacing w:after="40" w:before="40"/>
            </w:pPr>
            <w:r>
              <w:rPr>
                <w:color w:val="1F2D3D"/>
                <w:sz w:val="17"/>
              </w:rPr>
              <w:t>Property truth</w:t>
            </w:r>
          </w:p>
        </w:tc>
        <w:tc>
          <w:tcPr>
            <w:tcW w:type="dxa" w:w="5256"/>
            <w:vAlign w:val="center"/>
            <w:shd w:fill="F3F6F8"/>
          </w:tcPr>
          <w:p>
            <w:pPr>
              <w:keepLines/>
              <w:spacing w:after="40" w:before="40"/>
            </w:pPr>
            <w:r>
              <w:rPr>
                <w:color w:val="1F2D3D"/>
                <w:sz w:val="17"/>
              </w:rPr>
              <w:t>Sandralia Hotel by White Stones; Jabi, Abuja; verified 4-star and 102 rooms</w:t>
            </w:r>
          </w:p>
        </w:tc>
        <w:tc>
          <w:tcPr>
            <w:tcW w:type="dxa" w:w="3168"/>
            <w:vAlign w:val="center"/>
            <w:shd w:fill="F3F6F8"/>
          </w:tcPr>
          <w:p>
            <w:pPr>
              <w:keepLines/>
              <w:spacing w:after="40" w:before="40"/>
            </w:pPr>
            <w:r>
              <w:rPr>
                <w:color w:val="1F2D3D"/>
                <w:sz w:val="17"/>
              </w:rPr>
              <w:t>Five-star remains the design/service-quality ambition, not a changed hotel rating.</w:t>
            </w:r>
          </w:p>
        </w:tc>
      </w:tr>
      <w:tr>
        <w:trPr>
          <w:cantSplit/>
        </w:trPr>
        <w:tc>
          <w:tcPr>
            <w:tcW w:type="dxa" w:w="1656"/>
            <w:vAlign w:val="center"/>
          </w:tcPr>
          <w:p>
            <w:pPr>
              <w:keepLines/>
              <w:spacing w:after="40" w:before="40"/>
            </w:pPr>
            <w:r>
              <w:rPr>
                <w:color w:val="1F2D3D"/>
                <w:sz w:val="17"/>
              </w:rPr>
              <w:t>Acceptance</w:t>
            </w:r>
          </w:p>
        </w:tc>
        <w:tc>
          <w:tcPr>
            <w:tcW w:type="dxa" w:w="5256"/>
            <w:vAlign w:val="center"/>
          </w:tcPr>
          <w:p>
            <w:pPr>
              <w:keepLines/>
              <w:spacing w:after="40" w:before="40"/>
            </w:pPr>
            <w:r>
              <w:rPr>
                <w:color w:val="1F2D3D"/>
                <w:sz w:val="17"/>
              </w:rPr>
              <w:t>Controlled code, configuration and sandbox/test evidence</w:t>
            </w:r>
          </w:p>
        </w:tc>
        <w:tc>
          <w:tcPr>
            <w:tcW w:type="dxa" w:w="3168"/>
            <w:vAlign w:val="center"/>
          </w:tcPr>
          <w:p>
            <w:pPr>
              <w:keepLines/>
              <w:spacing w:after="40" w:before="40"/>
            </w:pPr>
            <w:r>
              <w:rPr>
                <w:color w:val="1F2D3D"/>
                <w:sz w:val="17"/>
              </w:rPr>
              <w:t>Supports the release candidate; provider onboarding, hotel UAT and production sign-off remain separate.</w:t>
            </w:r>
          </w:p>
        </w:tc>
      </w:tr>
      <w:tr>
        <w:trPr>
          <w:cantSplit/>
        </w:trPr>
        <w:tc>
          <w:tcPr>
            <w:tcW w:type="dxa" w:w="1656"/>
            <w:vAlign w:val="center"/>
            <w:shd w:fill="F3F6F8"/>
          </w:tcPr>
          <w:p>
            <w:pPr>
              <w:keepLines/>
              <w:spacing w:after="40" w:before="40"/>
            </w:pPr>
            <w:r>
              <w:rPr>
                <w:color w:val="1F2D3D"/>
                <w:sz w:val="17"/>
              </w:rPr>
              <w:t>Open exception</w:t>
            </w:r>
          </w:p>
        </w:tc>
        <w:tc>
          <w:tcPr>
            <w:tcW w:type="dxa" w:w="5256"/>
            <w:vAlign w:val="center"/>
            <w:shd w:fill="F3F6F8"/>
          </w:tcPr>
          <w:p>
            <w:pPr>
              <w:keepLines/>
              <w:spacing w:after="40" w:before="40"/>
            </w:pPr>
            <w:r>
              <w:rPr>
                <w:color w:val="1F2D3D"/>
                <w:sz w:val="17"/>
              </w:rPr>
              <w:t>Live OTA, production payments, hardware, third-party APIs, Sentinel collectors and exact provider credentials remain uncommissioned.</w:t>
            </w:r>
          </w:p>
        </w:tc>
        <w:tc>
          <w:tcPr>
            <w:tcW w:type="dxa" w:w="3168"/>
            <w:vAlign w:val="center"/>
            <w:shd w:fill="F3F6F8"/>
          </w:tcPr>
          <w:p>
            <w:pPr>
              <w:keepLines/>
              <w:spacing w:after="40" w:before="40"/>
            </w:pPr>
            <w:r>
              <w:rPr>
                <w:color w:val="1F2D3D"/>
                <w:sz w:val="17"/>
              </w:rPr>
              <w:t>Configure manually through RME 0.3 and activate only after contract, security/privacy, test, reconciliation and rollback gates.</w:t>
            </w:r>
          </w:p>
        </w:tc>
      </w:tr>
    </w:tbl>
    <w:p>
      <w:pPr>
        <w:pStyle w:val="Heading3"/>
        <w:keepNext/>
      </w:pPr>
      <w:r>
        <w:t>Implemented and packaged release components</w:t>
      </w:r>
    </w:p>
    <w:p>
      <w:pPr>
        <w:pStyle w:val="ListBullet"/>
        <w:spacing w:after="60"/>
      </w:pPr>
      <w:r>
        <w:t>v8.1 Sites/D1 operating core with controlled hotel workflows, tenant/property scope, audit and release boundaries.</w:t>
      </w:r>
    </w:p>
    <w:p>
      <w:pPr>
        <w:pStyle w:val="ListBullet"/>
        <w:spacing w:after="60"/>
      </w:pPr>
      <w:r>
        <w:t>v8.2 Paystack adapter in test/sandbox mode with manual credential, callback, settlement and production-approval gates.</w:t>
      </w:r>
    </w:p>
    <w:p>
      <w:pPr>
        <w:pStyle w:val="ListBullet"/>
        <w:spacing w:after="60"/>
      </w:pPr>
      <w:r>
        <w:t>v8.2 Sentinel overlay packaged as a disabled-by-default, signed, property-scoped and non-authoritative security bridge.</w:t>
      </w:r>
    </w:p>
    <w:p>
      <w:pPr>
        <w:pStyle w:val="ListBullet"/>
        <w:spacing w:after="60"/>
      </w:pPr>
      <w:r>
        <w:t>ERP, SaaS and CRS configuration foundations use explicit systems of record, entitlements, approvals, reconciliation and migration controls.</w:t>
      </w:r>
    </w:p>
    <w:p>
      <w:pPr>
        <w:pStyle w:val="ListBullet"/>
        <w:spacing w:after="60"/>
      </w:pPr>
      <w:r>
        <w:t>OTA, payment, messaging, maps, identity, locks, CCTV, biometrics, POS and other providers are registered manually and remain inactive until commissioned.</w:t>
      </w:r>
    </w:p>
    <w:p>
      <w:pPr>
        <w:pStyle w:val="ListBullet"/>
        <w:spacing w:after="60"/>
      </w:pPr>
      <w:r>
        <w:t>Current controlled repository baseline: commit 1abda50b1c07706ba79b10a63e92ce66344eaab8; deployment identifiers and acceptance evidence belong in the release register.</w:t>
      </w:r>
    </w:p>
    <w:p>
      <w:pPr>
        <w:pStyle w:val="Heading3"/>
        <w:keepNext/>
      </w:pPr>
      <w:r>
        <w:t>P0 gates before live or commercial activation</w:t>
      </w:r>
    </w:p>
    <w:tbl>
      <w:tblPr>
        <w:tblStyle w:val="TableGrid"/>
        <w:tblW w:type="auto" w:w="0"/>
        <w:tblLayout w:type="fixed"/>
        <w:tblLook w:firstColumn="1" w:firstRow="1" w:lastColumn="0" w:lastRow="0" w:noHBand="0" w:noVBand="1" w:val="04A0"/>
      </w:tblPr>
      <w:tblGrid>
        <w:gridCol w:w="3120"/>
        <w:gridCol w:w="3120"/>
        <w:gridCol w:w="3120"/>
      </w:tblGrid>
      <w:tr>
        <w:trPr>
          <w:cantSplit/>
          <w:tblHeader w:val="true"/>
        </w:trPr>
        <w:tc>
          <w:tcPr>
            <w:tcW w:type="dxa" w:w="1944"/>
            <w:vAlign w:val="center"/>
            <w:shd w:fill="102A43"/>
          </w:tcPr>
          <w:p>
            <w:pPr>
              <w:keepLines/>
              <w:spacing w:after="40" w:before="40"/>
            </w:pPr>
            <w:r>
              <w:rPr>
                <w:b/>
                <w:color w:val="FFFFFF"/>
                <w:sz w:val="17"/>
              </w:rPr>
              <w:t>Gate</w:t>
            </w:r>
          </w:p>
        </w:tc>
        <w:tc>
          <w:tcPr>
            <w:tcW w:type="dxa" w:w="5544"/>
            <w:vAlign w:val="center"/>
            <w:shd w:fill="102A43"/>
          </w:tcPr>
          <w:p>
            <w:pPr>
              <w:keepLines/>
              <w:spacing w:after="40" w:before="40"/>
            </w:pPr>
            <w:r>
              <w:rPr>
                <w:b/>
                <w:color w:val="FFFFFF"/>
                <w:sz w:val="17"/>
              </w:rPr>
              <w:t>Required next evidence</w:t>
            </w:r>
          </w:p>
        </w:tc>
        <w:tc>
          <w:tcPr>
            <w:tcW w:type="dxa" w:w="2592"/>
            <w:vAlign w:val="center"/>
            <w:shd w:fill="102A43"/>
          </w:tcPr>
          <w:p>
            <w:pPr>
              <w:keepLines/>
              <w:spacing w:after="40" w:before="40"/>
            </w:pPr>
            <w:r>
              <w:rPr>
                <w:b/>
                <w:color w:val="FFFFFF"/>
                <w:sz w:val="17"/>
              </w:rPr>
              <w:t>No-go boundary</w:t>
            </w:r>
          </w:p>
        </w:tc>
      </w:tr>
      <w:tr>
        <w:trPr>
          <w:cantSplit/>
        </w:trPr>
        <w:tc>
          <w:tcPr>
            <w:tcW w:type="dxa" w:w="1944"/>
            <w:vAlign w:val="center"/>
          </w:tcPr>
          <w:p>
            <w:pPr>
              <w:keepLines/>
              <w:spacing w:after="40" w:before="40"/>
            </w:pPr>
            <w:r>
              <w:rPr>
                <w:color w:val="1F2D3D"/>
                <w:sz w:val="17"/>
              </w:rPr>
              <w:t>One operational ledger</w:t>
            </w:r>
          </w:p>
        </w:tc>
        <w:tc>
          <w:tcPr>
            <w:tcW w:type="dxa" w:w="5544"/>
            <w:vAlign w:val="center"/>
          </w:tcPr>
          <w:p>
            <w:pPr>
              <w:keepLines/>
              <w:spacing w:after="40" w:before="40"/>
            </w:pPr>
            <w:r>
              <w:rPr>
                <w:color w:val="1F2D3D"/>
                <w:sz w:val="17"/>
              </w:rPr>
              <w:t>Confirm the authoritative Sites/D1 ledger and signed integration boundaries; document any future PHP/MySQL migration.</w:t>
            </w:r>
          </w:p>
        </w:tc>
        <w:tc>
          <w:tcPr>
            <w:tcW w:type="dxa" w:w="2592"/>
            <w:vAlign w:val="center"/>
          </w:tcPr>
          <w:p>
            <w:pPr>
              <w:keepLines/>
              <w:spacing w:after="40" w:before="40"/>
            </w:pPr>
            <w:r>
              <w:rPr>
                <w:color w:val="1F2D3D"/>
                <w:sz w:val="17"/>
              </w:rPr>
              <w:t>Do not operate competing D1 and PHP/MySQL inventory, folio, finance or payment ledgers.</w:t>
            </w:r>
          </w:p>
        </w:tc>
      </w:tr>
      <w:tr>
        <w:trPr>
          <w:cantSplit/>
        </w:trPr>
        <w:tc>
          <w:tcPr>
            <w:tcW w:type="dxa" w:w="1944"/>
            <w:vAlign w:val="center"/>
            <w:shd w:fill="F3F6F8"/>
          </w:tcPr>
          <w:p>
            <w:pPr>
              <w:keepLines/>
              <w:spacing w:after="40" w:before="40"/>
            </w:pPr>
            <w:r>
              <w:rPr>
                <w:color w:val="1F2D3D"/>
                <w:sz w:val="17"/>
              </w:rPr>
              <w:t>Hotel workforce IAM</w:t>
            </w:r>
          </w:p>
        </w:tc>
        <w:tc>
          <w:tcPr>
            <w:tcW w:type="dxa" w:w="5544"/>
            <w:vAlign w:val="center"/>
            <w:shd w:fill="F3F6F8"/>
          </w:tcPr>
          <w:p>
            <w:pPr>
              <w:keepLines/>
              <w:spacing w:after="40" w:before="40"/>
            </w:pPr>
            <w:r>
              <w:rPr>
                <w:color w:val="1F2D3D"/>
                <w:sz w:val="17"/>
              </w:rPr>
              <w:t>MFA, lifecycle, least privilege, role review, recovery and break-glass test.</w:t>
            </w:r>
          </w:p>
        </w:tc>
        <w:tc>
          <w:tcPr>
            <w:tcW w:type="dxa" w:w="2592"/>
            <w:vAlign w:val="center"/>
            <w:shd w:fill="F3F6F8"/>
          </w:tcPr>
          <w:p>
            <w:pPr>
              <w:keepLines/>
              <w:spacing w:after="40" w:before="40"/>
            </w:pPr>
            <w:r>
              <w:rPr>
                <w:color w:val="1F2D3D"/>
                <w:sz w:val="17"/>
              </w:rPr>
              <w:t>Sites owner ingress is not a hotel staff identity system.</w:t>
            </w:r>
          </w:p>
        </w:tc>
      </w:tr>
      <w:tr>
        <w:trPr>
          <w:cantSplit/>
        </w:trPr>
        <w:tc>
          <w:tcPr>
            <w:tcW w:type="dxa" w:w="1944"/>
            <w:vAlign w:val="center"/>
          </w:tcPr>
          <w:p>
            <w:pPr>
              <w:keepLines/>
              <w:spacing w:after="40" w:before="40"/>
            </w:pPr>
            <w:r>
              <w:rPr>
                <w:color w:val="1F2D3D"/>
                <w:sz w:val="17"/>
              </w:rPr>
              <w:t>Full PMS/F&amp;B</w:t>
            </w:r>
          </w:p>
        </w:tc>
        <w:tc>
          <w:tcPr>
            <w:tcW w:type="dxa" w:w="5544"/>
            <w:vAlign w:val="center"/>
          </w:tcPr>
          <w:p>
            <w:pPr>
              <w:keepLines/>
              <w:spacing w:after="40" w:before="40"/>
            </w:pPr>
            <w:r>
              <w:rPr>
                <w:color w:val="1F2D3D"/>
                <w:sz w:val="17"/>
              </w:rPr>
              <w:t>Complete PMS, F&amp;B, ERP, SaaS and CRS UAT, including inventory, night audit, folio/payment, KDS/stock and reconciled finance.</w:t>
            </w:r>
          </w:p>
        </w:tc>
        <w:tc>
          <w:tcPr>
            <w:tcW w:type="dxa" w:w="2592"/>
            <w:vAlign w:val="center"/>
          </w:tcPr>
          <w:p>
            <w:pPr>
              <w:keepLines/>
              <w:spacing w:after="40" w:before="40"/>
            </w:pPr>
            <w:r>
              <w:rPr>
                <w:color w:val="1F2D3D"/>
                <w:sz w:val="17"/>
              </w:rPr>
              <w:t>Do not market a module as production-complete where the relevant operating, reconciliation or recovery gate remains open.</w:t>
            </w:r>
          </w:p>
        </w:tc>
      </w:tr>
      <w:tr>
        <w:trPr>
          <w:cantSplit/>
        </w:trPr>
        <w:tc>
          <w:tcPr>
            <w:tcW w:type="dxa" w:w="1944"/>
            <w:vAlign w:val="center"/>
            <w:shd w:fill="F3F6F8"/>
          </w:tcPr>
          <w:p>
            <w:pPr>
              <w:keepLines/>
              <w:spacing w:after="40" w:before="40"/>
            </w:pPr>
            <w:r>
              <w:rPr>
                <w:color w:val="1F2D3D"/>
                <w:sz w:val="17"/>
              </w:rPr>
              <w:t>External providers</w:t>
            </w:r>
          </w:p>
        </w:tc>
        <w:tc>
          <w:tcPr>
            <w:tcW w:type="dxa" w:w="5544"/>
            <w:vAlign w:val="center"/>
            <w:shd w:fill="F3F6F8"/>
          </w:tcPr>
          <w:p>
            <w:pPr>
              <w:keepLines/>
              <w:spacing w:after="40" w:before="40"/>
            </w:pPr>
            <w:r>
              <w:rPr>
                <w:color w:val="1F2D3D"/>
                <w:sz w:val="17"/>
              </w:rPr>
              <w:t>Register each provider manually; complete contracts, credentials, mappings, privacy/security review, sandbox/UAT, retry, reconciliation and rollback.</w:t>
            </w:r>
          </w:p>
        </w:tc>
        <w:tc>
          <w:tcPr>
            <w:tcW w:type="dxa" w:w="2592"/>
            <w:vAlign w:val="center"/>
            <w:shd w:fill="F3F6F8"/>
          </w:tcPr>
          <w:p>
            <w:pPr>
              <w:keepLines/>
              <w:spacing w:after="40" w:before="40"/>
            </w:pPr>
            <w:r>
              <w:rPr>
                <w:color w:val="1F2D3D"/>
                <w:sz w:val="17"/>
              </w:rPr>
              <w:t>OTA, live Paystack/other payments, Google, ads, messaging, translation and hardware remain inactive until commissioned.</w:t>
            </w:r>
          </w:p>
        </w:tc>
      </w:tr>
      <w:tr>
        <w:trPr>
          <w:cantSplit/>
        </w:trPr>
        <w:tc>
          <w:tcPr>
            <w:tcW w:type="dxa" w:w="1944"/>
            <w:vAlign w:val="center"/>
          </w:tcPr>
          <w:p>
            <w:pPr>
              <w:keepLines/>
              <w:spacing w:after="40" w:before="40"/>
            </w:pPr>
            <w:r>
              <w:rPr>
                <w:color w:val="1F2D3D"/>
                <w:sz w:val="17"/>
              </w:rPr>
              <w:t>Commercial multi-tenancy</w:t>
            </w:r>
          </w:p>
        </w:tc>
        <w:tc>
          <w:tcPr>
            <w:tcW w:type="dxa" w:w="5544"/>
            <w:vAlign w:val="center"/>
          </w:tcPr>
          <w:p>
            <w:pPr>
              <w:keepLines/>
              <w:spacing w:after="40" w:before="40"/>
            </w:pPr>
            <w:r>
              <w:rPr>
                <w:color w:val="1F2D3D"/>
                <w:sz w:val="17"/>
              </w:rPr>
              <w:t>Composite tenant/property keys, isolation tests, lifecycle and per-tenant backup/restore.</w:t>
            </w:r>
          </w:p>
        </w:tc>
        <w:tc>
          <w:tcPr>
            <w:tcW w:type="dxa" w:w="2592"/>
            <w:vAlign w:val="center"/>
          </w:tcPr>
          <w:p>
            <w:pPr>
              <w:keepLines/>
              <w:spacing w:after="40" w:before="40"/>
            </w:pPr>
            <w:r>
              <w:rPr>
                <w:color w:val="1F2D3D"/>
                <w:sz w:val="17"/>
              </w:rPr>
              <w:t>Do not onboard a second customer into the pilot data model.</w:t>
            </w:r>
          </w:p>
        </w:tc>
      </w:tr>
      <w:tr>
        <w:trPr>
          <w:cantSplit/>
        </w:trPr>
        <w:tc>
          <w:tcPr>
            <w:tcW w:type="dxa" w:w="1944"/>
            <w:vAlign w:val="center"/>
            <w:shd w:fill="F3F6F8"/>
          </w:tcPr>
          <w:p>
            <w:pPr>
              <w:keepLines/>
              <w:spacing w:after="40" w:before="40"/>
            </w:pPr>
            <w:r>
              <w:rPr>
                <w:color w:val="1F2D3D"/>
                <w:sz w:val="17"/>
              </w:rPr>
              <w:t>Public production</w:t>
            </w:r>
          </w:p>
        </w:tc>
        <w:tc>
          <w:tcPr>
            <w:tcW w:type="dxa" w:w="5544"/>
            <w:vAlign w:val="center"/>
            <w:shd w:fill="F3F6F8"/>
          </w:tcPr>
          <w:p>
            <w:pPr>
              <w:keepLines/>
              <w:spacing w:after="40" w:before="40"/>
            </w:pPr>
            <w:r>
              <w:rPr>
                <w:color w:val="1F2D3D"/>
                <w:sz w:val="17"/>
              </w:rPr>
              <w:t>Browser/accessibility and content UAT; abuse controls; monitoring/recovery; domain/indexing; hotel sign-off.</w:t>
            </w:r>
          </w:p>
        </w:tc>
        <w:tc>
          <w:tcPr>
            <w:tcW w:type="dxa" w:w="2592"/>
            <w:vAlign w:val="center"/>
            <w:shd w:fill="F3F6F8"/>
          </w:tcPr>
          <w:p>
            <w:pPr>
              <w:keepLines/>
              <w:spacing w:after="40" w:before="40"/>
            </w:pPr>
            <w:r>
              <w:rPr>
                <w:color w:val="1F2D3D"/>
                <w:sz w:val="17"/>
              </w:rPr>
              <w:t>Keep owner-only until these gates pass.</w:t>
            </w:r>
          </w:p>
        </w:tc>
      </w:tr>
    </w:tbl>
    <w:p>
      <w:pPr>
        <w:pStyle w:val="Heading3"/>
        <w:keepNext/>
      </w:pPr>
      <w:r>
        <w:t>Cross-industry portfolio expansion outside the controlled RAHIS property boundary</w:t>
      </w:r>
    </w:p>
    <w:p>
      <w:r>
        <w:t>Version 3.1 retains separate RME-powered industry directions. Each requires sector discovery, licensing, delivery ownership, configuration records and independent acceptance evidence before commercial activation.</w:t>
      </w:r>
    </w:p>
    <w:tbl>
      <w:tblPr>
        <w:tblStyle w:val="TableGrid"/>
        <w:tblW w:type="auto" w:w="0"/>
        <w:tblLayout w:type="fixed"/>
        <w:tblLook w:firstColumn="1" w:firstRow="1" w:lastColumn="0" w:lastRow="0" w:noHBand="0" w:noVBand="1" w:val="04A0"/>
      </w:tblPr>
      <w:tblGrid>
        <w:gridCol w:w="3120"/>
        <w:gridCol w:w="3120"/>
        <w:gridCol w:w="3120"/>
      </w:tblGrid>
      <w:tr>
        <w:trPr>
          <w:cantSplit/>
          <w:tblHeader w:val="true"/>
        </w:trPr>
        <w:tc>
          <w:tcPr>
            <w:tcW w:type="dxa" w:w="1872"/>
            <w:vAlign w:val="center"/>
            <w:shd w:fill="102A43"/>
          </w:tcPr>
          <w:p>
            <w:pPr>
              <w:keepLines/>
              <w:spacing w:after="40" w:before="40"/>
            </w:pPr>
            <w:r>
              <w:rPr>
                <w:b/>
                <w:color w:val="FFFFFF"/>
                <w:sz w:val="17"/>
              </w:rPr>
              <w:t>Vertical pack</w:t>
            </w:r>
          </w:p>
        </w:tc>
        <w:tc>
          <w:tcPr>
            <w:tcW w:type="dxa" w:w="5400"/>
            <w:vAlign w:val="center"/>
            <w:shd w:fill="102A43"/>
          </w:tcPr>
          <w:p>
            <w:pPr>
              <w:keepLines/>
              <w:spacing w:after="40" w:before="40"/>
            </w:pPr>
            <w:r>
              <w:rPr>
                <w:b/>
                <w:color w:val="FFFFFF"/>
                <w:sz w:val="17"/>
              </w:rPr>
              <w:t>Approved product direction</w:t>
            </w:r>
          </w:p>
        </w:tc>
        <w:tc>
          <w:tcPr>
            <w:tcW w:type="dxa" w:w="2808"/>
            <w:vAlign w:val="center"/>
            <w:shd w:fill="102A43"/>
          </w:tcPr>
          <w:p>
            <w:pPr>
              <w:keepLines/>
              <w:spacing w:after="40" w:before="40"/>
            </w:pPr>
            <w:r>
              <w:rPr>
                <w:b/>
                <w:color w:val="FFFFFF"/>
                <w:sz w:val="17"/>
              </w:rPr>
              <w:t>Control boundary</w:t>
            </w:r>
          </w:p>
        </w:tc>
      </w:tr>
      <w:tr>
        <w:trPr>
          <w:cantSplit/>
        </w:trPr>
        <w:tc>
          <w:tcPr>
            <w:tcW w:type="dxa" w:w="1872"/>
            <w:vAlign w:val="center"/>
          </w:tcPr>
          <w:p>
            <w:pPr>
              <w:keepLines/>
              <w:spacing w:after="40" w:before="40"/>
            </w:pPr>
            <w:r>
              <w:rPr>
                <w:color w:val="1F2D3D"/>
                <w:sz w:val="17"/>
              </w:rPr>
              <w:t>Financial Services</w:t>
            </w:r>
          </w:p>
        </w:tc>
        <w:tc>
          <w:tcPr>
            <w:tcW w:type="dxa" w:w="5400"/>
            <w:vAlign w:val="center"/>
          </w:tcPr>
          <w:p>
            <w:pPr>
              <w:keepLines/>
              <w:spacing w:after="40" w:before="40"/>
            </w:pPr>
            <w:r>
              <w:rPr>
                <w:color w:val="1F2D3D"/>
                <w:sz w:val="17"/>
              </w:rPr>
              <w:t>Accounting, tax work, insurance/referral, consulting and periodic financial reporting/planning.</w:t>
            </w:r>
          </w:p>
        </w:tc>
        <w:tc>
          <w:tcPr>
            <w:tcW w:type="dxa" w:w="2808"/>
            <w:vAlign w:val="center"/>
          </w:tcPr>
          <w:p>
            <w:pPr>
              <w:keepLines/>
              <w:spacing w:after="40" w:before="40"/>
            </w:pPr>
            <w:r>
              <w:rPr>
                <w:color w:val="1F2D3D"/>
                <w:sz w:val="17"/>
              </w:rPr>
              <w:t>Regulated advice or services require licensed professionals/partners and approvals.</w:t>
            </w:r>
          </w:p>
        </w:tc>
      </w:tr>
      <w:tr>
        <w:trPr>
          <w:cantSplit/>
        </w:trPr>
        <w:tc>
          <w:tcPr>
            <w:tcW w:type="dxa" w:w="1872"/>
            <w:vAlign w:val="center"/>
            <w:shd w:fill="F3F6F8"/>
          </w:tcPr>
          <w:p>
            <w:pPr>
              <w:keepLines/>
              <w:spacing w:after="40" w:before="40"/>
            </w:pPr>
            <w:r>
              <w:rPr>
                <w:color w:val="1F2D3D"/>
                <w:sz w:val="17"/>
              </w:rPr>
              <w:t>Professional Services</w:t>
            </w:r>
          </w:p>
        </w:tc>
        <w:tc>
          <w:tcPr>
            <w:tcW w:type="dxa" w:w="5400"/>
            <w:vAlign w:val="center"/>
            <w:shd w:fill="F3F6F8"/>
          </w:tcPr>
          <w:p>
            <w:pPr>
              <w:keepLines/>
              <w:spacing w:after="40" w:before="40"/>
            </w:pPr>
            <w:r>
              <w:rPr>
                <w:color w:val="1F2D3D"/>
                <w:sz w:val="17"/>
              </w:rPr>
              <w:t>Consulting, coaching, training, projects, research/analysis and delivery control.</w:t>
            </w:r>
          </w:p>
        </w:tc>
        <w:tc>
          <w:tcPr>
            <w:tcW w:type="dxa" w:w="2808"/>
            <w:vAlign w:val="center"/>
            <w:shd w:fill="F3F6F8"/>
          </w:tcPr>
          <w:p>
            <w:pPr>
              <w:keepLines/>
              <w:spacing w:after="40" w:before="40"/>
            </w:pPr>
            <w:r>
              <w:rPr>
                <w:color w:val="1F2D3D"/>
                <w:sz w:val="17"/>
              </w:rPr>
              <w:t>Credentials, confidentiality, expert sign-off and acceptance remain mandatory.</w:t>
            </w:r>
          </w:p>
        </w:tc>
      </w:tr>
      <w:tr>
        <w:trPr>
          <w:cantSplit/>
        </w:trPr>
        <w:tc>
          <w:tcPr>
            <w:tcW w:type="dxa" w:w="1872"/>
            <w:vAlign w:val="center"/>
          </w:tcPr>
          <w:p>
            <w:pPr>
              <w:keepLines/>
              <w:spacing w:after="40" w:before="40"/>
            </w:pPr>
            <w:r>
              <w:rPr>
                <w:color w:val="1F2D3D"/>
                <w:sz w:val="17"/>
              </w:rPr>
              <w:t>Manufacturing</w:t>
            </w:r>
          </w:p>
        </w:tc>
        <w:tc>
          <w:tcPr>
            <w:tcW w:type="dxa" w:w="5400"/>
            <w:vAlign w:val="center"/>
          </w:tcPr>
          <w:p>
            <w:pPr>
              <w:keepLines/>
              <w:spacing w:after="40" w:before="40"/>
            </w:pPr>
            <w:r>
              <w:rPr>
                <w:color w:val="1F2D3D"/>
                <w:sz w:val="17"/>
              </w:rPr>
              <w:t>ERP, MES, QMS, SCM and governed CAD/document interoperability.</w:t>
            </w:r>
          </w:p>
        </w:tc>
        <w:tc>
          <w:tcPr>
            <w:tcW w:type="dxa" w:w="2808"/>
            <w:vAlign w:val="center"/>
          </w:tcPr>
          <w:p>
            <w:pPr>
              <w:keepLines/>
              <w:spacing w:after="40" w:before="40"/>
            </w:pPr>
            <w:r>
              <w:rPr>
                <w:color w:val="1F2D3D"/>
                <w:sz w:val="17"/>
              </w:rPr>
              <w:t>Plant safety, engineering authority and approved quality systems remain controlling.</w:t>
            </w:r>
          </w:p>
        </w:tc>
      </w:tr>
      <w:tr>
        <w:trPr>
          <w:cantSplit/>
        </w:trPr>
        <w:tc>
          <w:tcPr>
            <w:tcW w:type="dxa" w:w="1872"/>
            <w:vAlign w:val="center"/>
            <w:shd w:fill="F3F6F8"/>
          </w:tcPr>
          <w:p>
            <w:pPr>
              <w:keepLines/>
              <w:spacing w:after="40" w:before="40"/>
            </w:pPr>
            <w:r>
              <w:rPr>
                <w:color w:val="1F2D3D"/>
                <w:sz w:val="17"/>
              </w:rPr>
              <w:t>Distribution</w:t>
            </w:r>
          </w:p>
        </w:tc>
        <w:tc>
          <w:tcPr>
            <w:tcW w:type="dxa" w:w="5400"/>
            <w:vAlign w:val="center"/>
            <w:shd w:fill="F3F6F8"/>
          </w:tcPr>
          <w:p>
            <w:pPr>
              <w:keepLines/>
              <w:spacing w:after="40" w:before="40"/>
            </w:pPr>
            <w:r>
              <w:rPr>
                <w:color w:val="1F2D3D"/>
                <w:sz w:val="17"/>
              </w:rPr>
              <w:t>Inventory, orders, warehouse, freight, delivery and analytics.</w:t>
            </w:r>
          </w:p>
        </w:tc>
        <w:tc>
          <w:tcPr>
            <w:tcW w:type="dxa" w:w="2808"/>
            <w:vAlign w:val="center"/>
            <w:shd w:fill="F3F6F8"/>
          </w:tcPr>
          <w:p>
            <w:pPr>
              <w:keepLines/>
              <w:spacing w:after="40" w:before="40"/>
            </w:pPr>
            <w:r>
              <w:rPr>
                <w:color w:val="1F2D3D"/>
                <w:sz w:val="17"/>
              </w:rPr>
              <w:t>Stock, tax, carrier and proof-of-delivery transactions must reconcile.</w:t>
            </w:r>
          </w:p>
        </w:tc>
      </w:tr>
      <w:tr>
        <w:trPr>
          <w:cantSplit/>
        </w:trPr>
        <w:tc>
          <w:tcPr>
            <w:tcW w:type="dxa" w:w="1872"/>
            <w:vAlign w:val="center"/>
          </w:tcPr>
          <w:p>
            <w:pPr>
              <w:keepLines/>
              <w:spacing w:after="40" w:before="40"/>
            </w:pPr>
            <w:r>
              <w:rPr>
                <w:color w:val="1F2D3D"/>
                <w:sz w:val="17"/>
              </w:rPr>
              <w:t>Construction</w:t>
            </w:r>
          </w:p>
        </w:tc>
        <w:tc>
          <w:tcPr>
            <w:tcW w:type="dxa" w:w="5400"/>
            <w:vAlign w:val="center"/>
          </w:tcPr>
          <w:p>
            <w:pPr>
              <w:keepLines/>
              <w:spacing w:after="40" w:before="40"/>
            </w:pPr>
            <w:r>
              <w:rPr>
                <w:color w:val="1F2D3D"/>
                <w:sz w:val="17"/>
              </w:rPr>
              <w:t>Schedule, resources, cost, contracts/permits/drawings, field reports and safety.</w:t>
            </w:r>
          </w:p>
        </w:tc>
        <w:tc>
          <w:tcPr>
            <w:tcW w:type="dxa" w:w="2808"/>
            <w:vAlign w:val="center"/>
          </w:tcPr>
          <w:p>
            <w:pPr>
              <w:keepLines/>
              <w:spacing w:after="40" w:before="40"/>
            </w:pPr>
            <w:r>
              <w:rPr>
                <w:color w:val="1F2D3D"/>
                <w:sz w:val="17"/>
              </w:rPr>
              <w:t>Professional sign-off, permits, safety and contracts remain human-controlled.</w:t>
            </w:r>
          </w:p>
        </w:tc>
      </w:tr>
    </w:tbl>
    <w:p>
      <w:r>
        <w:t>The RAHIS completion and external-activation register is the required companion record for provider assets, department runbooks, paperless exceptions, release acceptance, rollback and live commissioning.</w:t>
      </w:r>
    </w:p>
    <w:tbl>
      <w:tblPr>
        <w:tblW w:type="dxa" w:w="9360"/>
        <w:jc w:val="left"/>
        <w:tblLayout w:type="fixed"/>
        <w:tblLook w:firstColumn="1" w:firstRow="1" w:lastColumn="0" w:lastRow="0" w:noHBand="0" w:noVBand="1" w:val="04A0"/>
        <w:tblInd w:type="dxa" w:w="180"/>
      </w:tblPr>
      <w:tblGrid>
        <w:gridCol w:w="9360"/>
      </w:tblGrid>
      <w:tr>
        <w:trPr>
          <w:tblHeader w:val="true"/>
        </w:trPr>
        <w:tc>
          <w:tcPr>
            <w:tcW w:type="dxa" w:w="9360"/>
            <w:shd w:fill="E8F4F1"/>
            <w:tcMar>
              <w:top w:w="160" w:type="dxa"/>
              <w:start w:w="180" w:type="dxa"/>
              <w:bottom w:w="160" w:type="dxa"/>
              <w:end w:w="180" w:type="dxa"/>
            </w:tcMar>
          </w:tcPr>
          <w:p>
            <w:r>
              <w:t>CONTROLLED CONCLUSION  Version 3.1 authorises the RAHIS v8.3 controlled candidate and separate cross-industry RME product directions as governed programmes. It does not authorise uncontrolled provider publication, live payment/OTA claims, regulated professional activity without authority, or replacement of required human, legal, safety, finance and audit judgement.</w:t>
            </w:r>
          </w:p>
        </w:tc>
      </w:tr>
    </w:tbl>
    <w:p>
      <w:pPr>
        <w:pStyle w:val="Heading1"/>
        <w:pageBreakBefore/>
      </w:pPr>
      <w:r>
        <w:t>SECTION 38 | Rihuum Sentinel AI Cybersecurity Suite and Integrated Defence Platform</w:t>
      </w:r>
    </w:p>
    <w:p>
      <w:pPr>
        <w:pStyle w:val="Heading2"/>
      </w:pPr>
      <w:r>
        <w:t>38.1 Executive product decision</w:t>
      </w:r>
    </w:p>
    <w:p>
      <w:r>
        <w:t>Rihuum Intercontinental Limited formally establishes the Rihuum Sentinel AI Cybersecurity Suite as the company-wide defensive cybersecurity product family. Sentinel AI is the central control plane. Each capability is separately licensable, tenant-scoped, authorised-use-only and evidence-driven through RME, RIA, Rihuum OS and Digital Ecosystem contracts.</w:t>
      </w:r>
    </w:p>
    <w:p>
      <w:pPr>
        <w:pStyle w:val="RiskCallout"/>
      </w:pPr>
      <w:r>
        <w:t>This controlled update is executive-authorised for engineering, staging, commercial planning and Board ratification. It does not claim that all provider, device or managed-service capabilities are commissioned or generally available.</w:t>
      </w:r>
    </w:p>
    <w:p>
      <w:pPr>
        <w:pStyle w:val="Heading2"/>
      </w:pPr>
      <w:r>
        <w:t>38.2 Platform hierarchy</w:t>
      </w:r>
    </w:p>
    <w:tbl>
      <w:tblPr>
        <w:tblStyle w:val="TableGrid"/>
        <w:tblW w:type="auto" w:w="0"/>
        <w:jc w:val="center"/>
        <w:tblLook w:firstColumn="1" w:firstRow="1" w:lastColumn="0" w:lastRow="0" w:noHBand="0" w:noVBand="1" w:val="04A0"/>
      </w:tblPr>
      <w:tblGrid>
        <w:gridCol w:w="4320"/>
        <w:gridCol w:w="4320"/>
      </w:tblGrid>
      <w:tr>
        <w:trPr>
          <w:tblHeader w:val="true"/>
          <w:cantSplit/>
        </w:trPr>
        <w:tc>
          <w:tcPr>
            <w:tcW w:type="dxa" w:w="2880"/>
            <w:vAlign w:val="center"/>
            <w:shd w:fill="12233F"/>
            <w:tcMar>
              <w:top w:w="80" w:type="dxa"/>
              <w:start w:w="80" w:type="dxa"/>
              <w:bottom w:w="80" w:type="dxa"/>
              <w:end w:w="80" w:type="dxa"/>
            </w:tcMar>
          </w:tcPr>
          <w:p>
            <w:r/>
            <w:r>
              <w:rPr>
                <w:rFonts w:ascii="Arial" w:hAnsi="Arial"/>
                <w:b/>
                <w:color w:val="FFFFFF"/>
                <w:sz w:val="16"/>
              </w:rPr>
              <w:t>Layer</w:t>
            </w:r>
          </w:p>
        </w:tc>
        <w:tc>
          <w:tcPr>
            <w:tcW w:type="dxa" w:w="6768"/>
            <w:vAlign w:val="center"/>
            <w:shd w:fill="12233F"/>
            <w:tcMar>
              <w:top w:w="80" w:type="dxa"/>
              <w:start w:w="80" w:type="dxa"/>
              <w:bottom w:w="80" w:type="dxa"/>
              <w:end w:w="80" w:type="dxa"/>
            </w:tcMar>
          </w:tcPr>
          <w:p>
            <w:r/>
            <w:r>
              <w:rPr>
                <w:rFonts w:ascii="Arial" w:hAnsi="Arial"/>
                <w:b/>
                <w:color w:val="FFFFFF"/>
                <w:sz w:val="16"/>
              </w:rPr>
              <w:t>Controlled role</w:t>
            </w:r>
          </w:p>
        </w:tc>
      </w:tr>
      <w:tr>
        <w:trPr>
          <w:cantSplit/>
        </w:trPr>
        <w:tc>
          <w:tcPr>
            <w:tcW w:type="dxa" w:w="2880"/>
            <w:vAlign w:val="center"/>
            <w:tcMar>
              <w:top w:w="80" w:type="dxa"/>
              <w:start w:w="80" w:type="dxa"/>
              <w:bottom w:w="80" w:type="dxa"/>
              <w:end w:w="80" w:type="dxa"/>
            </w:tcMar>
          </w:tcPr>
          <w:p>
            <w:r/>
            <w:r>
              <w:rPr>
                <w:rFonts w:ascii="Arial" w:hAnsi="Arial"/>
                <w:b w:val="0"/>
                <w:color w:val="1F2937"/>
                <w:sz w:val="16"/>
              </w:rPr>
              <w:t>Rihuum Intercontinental Limited</w:t>
            </w:r>
          </w:p>
        </w:tc>
        <w:tc>
          <w:tcPr>
            <w:tcW w:type="dxa" w:w="6768"/>
            <w:vAlign w:val="center"/>
            <w:tcMar>
              <w:top w:w="80" w:type="dxa"/>
              <w:start w:w="80" w:type="dxa"/>
              <w:bottom w:w="80" w:type="dxa"/>
              <w:end w:w="80" w:type="dxa"/>
            </w:tcMar>
          </w:tcPr>
          <w:p>
            <w:r/>
            <w:r>
              <w:rPr>
                <w:rFonts w:ascii="Arial" w:hAnsi="Arial"/>
                <w:b w:val="0"/>
                <w:color w:val="1F2937"/>
                <w:sz w:val="16"/>
              </w:rPr>
              <w:t>Owner, developer, operator, licensor and accountable governance authority.</w:t>
            </w:r>
          </w:p>
        </w:tc>
      </w:tr>
      <w:tr>
        <w:trPr>
          <w:cantSplit/>
        </w:trPr>
        <w:tc>
          <w:tcPr>
            <w:tcW w:type="dxa" w:w="2880"/>
            <w:vAlign w:val="center"/>
            <w:tcMar>
              <w:top w:w="80" w:type="dxa"/>
              <w:start w:w="80" w:type="dxa"/>
              <w:bottom w:w="80" w:type="dxa"/>
              <w:end w:w="80" w:type="dxa"/>
            </w:tcMar>
            <w:shd w:fill="F2F4F7"/>
          </w:tcPr>
          <w:p>
            <w:r/>
            <w:r>
              <w:rPr>
                <w:rFonts w:ascii="Arial" w:hAnsi="Arial"/>
                <w:b w:val="0"/>
                <w:color w:val="1F2937"/>
                <w:sz w:val="16"/>
              </w:rPr>
              <w:t>Rihuum Digital Ecosystem</w:t>
            </w:r>
          </w:p>
        </w:tc>
        <w:tc>
          <w:tcPr>
            <w:tcW w:type="dxa" w:w="6768"/>
            <w:vAlign w:val="center"/>
            <w:tcMar>
              <w:top w:w="80" w:type="dxa"/>
              <w:start w:w="80" w:type="dxa"/>
              <w:bottom w:w="80" w:type="dxa"/>
              <w:end w:w="80" w:type="dxa"/>
            </w:tcMar>
            <w:shd w:fill="F2F4F7"/>
          </w:tcPr>
          <w:p>
            <w:r/>
            <w:r>
              <w:rPr>
                <w:rFonts w:ascii="Arial" w:hAnsi="Arial"/>
                <w:b w:val="0"/>
                <w:color w:val="1F2937"/>
                <w:sz w:val="16"/>
              </w:rPr>
              <w:t>Corporate trust, product discovery, academy, customer workspaces, security status and support across the three domains.</w:t>
            </w:r>
          </w:p>
        </w:tc>
      </w:tr>
      <w:tr>
        <w:trPr>
          <w:cantSplit/>
        </w:trPr>
        <w:tc>
          <w:tcPr>
            <w:tcW w:type="dxa" w:w="2880"/>
            <w:vAlign w:val="center"/>
            <w:tcMar>
              <w:top w:w="80" w:type="dxa"/>
              <w:start w:w="80" w:type="dxa"/>
              <w:bottom w:w="80" w:type="dxa"/>
              <w:end w:w="80" w:type="dxa"/>
            </w:tcMar>
          </w:tcPr>
          <w:p>
            <w:r>
              <w:rPr>
                <w:rFonts w:ascii="Arial" w:hAnsi="Arial"/>
                <w:b w:val="0"/>
                <w:color w:val="1F2937"/>
                <w:sz w:val="16"/>
              </w:rPr>
              <w:t>RME</w:t>
            </w:r>
          </w:p>
        </w:tc>
        <w:tc>
          <w:tcPr>
            <w:tcW w:type="dxa" w:w="6768"/>
            <w:vAlign w:val="center"/>
            <w:tcMar>
              <w:top w:w="80" w:type="dxa"/>
              <w:start w:w="80" w:type="dxa"/>
              <w:bottom w:w="80" w:type="dxa"/>
              <w:end w:w="80" w:type="dxa"/>
            </w:tcMar>
          </w:tcPr>
          <w:p>
            <w:r>
              <w:rPr>
                <w:rFonts w:ascii="Arial" w:hAnsi="Arial"/>
                <w:b w:val="0"/>
                <w:color w:val="1F2937"/>
                <w:sz w:val="16"/>
              </w:rPr>
              <w:t>Shared organisations, identity, MFA, permissions, licensing, audit, RME 0.3 configuration, notifications, updates, backups, integrations and support.</w:t>
            </w:r>
          </w:p>
        </w:tc>
      </w:tr>
      <w:tr>
        <w:trPr>
          <w:cantSplit/>
        </w:trPr>
        <w:tc>
          <w:tcPr>
            <w:tcW w:type="dxa" w:w="2880"/>
            <w:vAlign w:val="center"/>
            <w:tcMar>
              <w:top w:w="80" w:type="dxa"/>
              <w:start w:w="80" w:type="dxa"/>
              <w:bottom w:w="80" w:type="dxa"/>
              <w:end w:w="80" w:type="dxa"/>
            </w:tcMar>
            <w:shd w:fill="F2F4F7"/>
          </w:tcPr>
          <w:p>
            <w:r/>
            <w:r>
              <w:rPr>
                <w:rFonts w:ascii="Arial" w:hAnsi="Arial"/>
                <w:b w:val="0"/>
                <w:color w:val="1F2937"/>
                <w:sz w:val="16"/>
              </w:rPr>
              <w:t>RIA</w:t>
            </w:r>
          </w:p>
        </w:tc>
        <w:tc>
          <w:tcPr>
            <w:tcW w:type="dxa" w:w="6768"/>
            <w:vAlign w:val="center"/>
            <w:tcMar>
              <w:top w:w="80" w:type="dxa"/>
              <w:start w:w="80" w:type="dxa"/>
              <w:bottom w:w="80" w:type="dxa"/>
              <w:end w:w="80" w:type="dxa"/>
            </w:tcMar>
            <w:shd w:fill="F2F4F7"/>
          </w:tcPr>
          <w:p>
            <w:r/>
            <w:r>
              <w:rPr>
                <w:rFonts w:ascii="Arial" w:hAnsi="Arial"/>
                <w:b w:val="0"/>
                <w:color w:val="1F2937"/>
                <w:sz w:val="16"/>
              </w:rPr>
              <w:t>Governed AI models, agents, knowledge, tools, evaluation, provenance, cost controls, human approvals and kill switches.</w:t>
            </w:r>
          </w:p>
        </w:tc>
      </w:tr>
      <w:tr>
        <w:trPr>
          <w:cantSplit/>
        </w:trPr>
        <w:tc>
          <w:tcPr>
            <w:tcW w:type="dxa" w:w="2880"/>
            <w:vAlign w:val="center"/>
            <w:tcMar>
              <w:top w:w="80" w:type="dxa"/>
              <w:start w:w="80" w:type="dxa"/>
              <w:bottom w:w="80" w:type="dxa"/>
              <w:end w:w="80" w:type="dxa"/>
            </w:tcMar>
          </w:tcPr>
          <w:p>
            <w:r/>
            <w:r>
              <w:rPr>
                <w:rFonts w:ascii="Arial" w:hAnsi="Arial"/>
                <w:b w:val="0"/>
                <w:color w:val="1F2937"/>
                <w:sz w:val="16"/>
              </w:rPr>
              <w:t>Rihuum Sentinel AI</w:t>
            </w:r>
          </w:p>
        </w:tc>
        <w:tc>
          <w:tcPr>
            <w:tcW w:type="dxa" w:w="6768"/>
            <w:vAlign w:val="center"/>
            <w:tcMar>
              <w:top w:w="80" w:type="dxa"/>
              <w:start w:w="80" w:type="dxa"/>
              <w:bottom w:w="80" w:type="dxa"/>
              <w:end w:w="80" w:type="dxa"/>
            </w:tcMar>
          </w:tcPr>
          <w:p>
            <w:r/>
            <w:r>
              <w:rPr>
                <w:rFonts w:ascii="Arial" w:hAnsi="Arial"/>
                <w:b w:val="0"/>
                <w:color w:val="1F2937"/>
                <w:sz w:val="16"/>
              </w:rPr>
              <w:t>Central cybersecurity command, authorisation, evidence, detection, response, posture and commercial module platform.</w:t>
            </w:r>
          </w:p>
        </w:tc>
      </w:tr>
      <w:tr>
        <w:trPr>
          <w:cantSplit/>
        </w:trPr>
        <w:tc>
          <w:tcPr>
            <w:tcW w:type="dxa" w:w="2880"/>
            <w:vAlign w:val="center"/>
            <w:tcMar>
              <w:top w:w="80" w:type="dxa"/>
              <w:start w:w="80" w:type="dxa"/>
              <w:bottom w:w="80" w:type="dxa"/>
              <w:end w:w="80" w:type="dxa"/>
            </w:tcMar>
            <w:shd w:fill="F2F4F7"/>
          </w:tcPr>
          <w:p>
            <w:r/>
            <w:r>
              <w:rPr>
                <w:rFonts w:ascii="Arial" w:hAnsi="Arial"/>
                <w:b w:val="0"/>
                <w:color w:val="1F2937"/>
                <w:sz w:val="16"/>
              </w:rPr>
              <w:t>Collectors and adapters</w:t>
            </w:r>
          </w:p>
        </w:tc>
        <w:tc>
          <w:tcPr>
            <w:tcW w:type="dxa" w:w="6768"/>
            <w:vAlign w:val="center"/>
            <w:tcMar>
              <w:top w:w="80" w:type="dxa"/>
              <w:start w:w="80" w:type="dxa"/>
              <w:bottom w:w="80" w:type="dxa"/>
              <w:end w:w="80" w:type="dxa"/>
            </w:tcMar>
            <w:shd w:fill="F2F4F7"/>
          </w:tcPr>
          <w:p>
            <w:r/>
            <w:r>
              <w:rPr>
                <w:rFonts w:ascii="Arial" w:hAnsi="Arial"/>
                <w:b w:val="0"/>
                <w:color w:val="1F2937"/>
                <w:sz w:val="16"/>
              </w:rPr>
              <w:t>Customer-controlled local observations and approved provider/device integrations; outbound and least privilege.</w:t>
            </w:r>
          </w:p>
        </w:tc>
      </w:tr>
      <w:tr>
        <w:trPr>
          <w:cantSplit/>
        </w:trPr>
        <w:tc>
          <w:tcPr>
            <w:tcW w:type="dxa" w:w="2880"/>
            <w:vAlign w:val="center"/>
            <w:tcMar>
              <w:top w:w="80" w:type="dxa"/>
              <w:start w:w="80" w:type="dxa"/>
              <w:bottom w:w="80" w:type="dxa"/>
              <w:end w:w="80" w:type="dxa"/>
            </w:tcMar>
          </w:tcPr>
          <w:p>
            <w:r>
              <w:rPr>
                <w:rFonts w:ascii="Arial" w:hAnsi="Arial"/>
                <w:b w:val="0"/>
                <w:color w:val="1F2937"/>
                <w:sz w:val="16"/>
              </w:rPr>
              <w:t>RAHIS v8.3 candidate</w:t>
            </w:r>
          </w:p>
        </w:tc>
        <w:tc>
          <w:tcPr>
            <w:tcW w:type="dxa" w:w="6768"/>
            <w:vAlign w:val="center"/>
            <w:tcMar>
              <w:top w:w="80" w:type="dxa"/>
              <w:start w:w="80" w:type="dxa"/>
              <w:bottom w:w="80" w:type="dxa"/>
              <w:end w:w="80" w:type="dxa"/>
            </w:tcMar>
          </w:tcPr>
          <w:p>
            <w:r>
              <w:rPr>
                <w:rFonts w:ascii="Arial" w:hAnsi="Arial"/>
                <w:b w:val="0"/>
                <w:color w:val="1F2937"/>
                <w:sz w:val="16"/>
              </w:rPr>
              <w:t>Hospitality system of record and consolidated release candidate; v8.2 Sentinel bridge remains signed, property-scoped, disabled by default and non-authoritative.</w:t>
            </w:r>
          </w:p>
        </w:tc>
      </w:tr>
    </w:tbl>
    <w:p>
      <w:pPr>
        <w:pStyle w:val="Heading2"/>
      </w:pPr>
      <w:r>
        <w:t>38.3 Sentinel AI operating principles</w:t>
      </w:r>
    </w:p>
    <w:p>
      <w:pPr>
        <w:pStyle w:val="ListBullet"/>
      </w:pPr>
      <w:r>
        <w:t>Deny by default: no operation without authenticated identity, active tenant, permission, entitlement, verified asset, approved written authority, exact scope, valid window and matching execution tier.</w:t>
      </w:r>
    </w:p>
    <w:p>
      <w:pPr>
        <w:pStyle w:val="ListBullet"/>
      </w:pPr>
      <w:r>
        <w:t>Defensive use only: no credential theft, malware, destructive payload, covert interception, arbitrary shell, unauthorised persistence or indiscriminate scanning.</w:t>
      </w:r>
    </w:p>
    <w:p>
      <w:pPr>
        <w:pStyle w:val="ListBullet"/>
      </w:pPr>
      <w:r>
        <w:t>Human authority: AI is advisory by default; reversible consequential actions require recorded approval, idempotency, rollback and verification; irreversible autonomous action is prohibited.</w:t>
      </w:r>
    </w:p>
    <w:p>
      <w:pPr>
        <w:pStyle w:val="ListBullet"/>
      </w:pPr>
      <w:r>
        <w:t>Evidence over confidence: source records, hashes, timestamps, provenance, correlation and chain of custody remain authoritative; AI confidence is explicitly labelled.</w:t>
      </w:r>
    </w:p>
    <w:p>
      <w:pPr>
        <w:pStyle w:val="ListBullet"/>
      </w:pPr>
      <w:r>
        <w:t>Separation of systems of record: Sentinel does not become the operational ledger for payments, payroll, reservations, inventory, access control or biometrics.</w:t>
      </w:r>
    </w:p>
    <w:p>
      <w:pPr>
        <w:pStyle w:val="ListBullet"/>
      </w:pPr>
      <w:r>
        <w:t>Portable delivery: shared-hosting control plane first, then isolated workers, hybrid bridges and cloud services as measured triggers require.</w:t>
      </w:r>
    </w:p>
    <w:p>
      <w:pPr>
        <w:pStyle w:val="ListBullet"/>
      </w:pPr>
      <w:r>
        <w:t>Commercial truth: registered, implemented, configured, connected, tested, accepted and generally available are distinct product states.</w:t>
      </w:r>
    </w:p>
    <w:p>
      <w:pPr>
        <w:pStyle w:val="Heading2"/>
      </w:pPr>
      <w:r>
        <w:t>38.4 Forty separately licensable defensive modules</w:t>
      </w:r>
    </w:p>
    <w:tbl>
      <w:tblPr>
        <w:tblStyle w:val="TableGrid"/>
        <w:tblW w:type="auto" w:w="0"/>
        <w:jc w:val="center"/>
        <w:tblLook w:firstColumn="1" w:firstRow="1" w:lastColumn="0" w:lastRow="0" w:noHBand="0" w:noVBand="1" w:val="04A0"/>
      </w:tblPr>
      <w:tblGrid>
        <w:gridCol w:w="4320"/>
        <w:gridCol w:w="4320"/>
      </w:tblGrid>
      <w:tr>
        <w:trPr>
          <w:tblHeader w:val="true"/>
          <w:cantSplit/>
        </w:trPr>
        <w:tc>
          <w:tcPr>
            <w:tcW w:type="dxa" w:w="2736"/>
            <w:vAlign w:val="center"/>
            <w:shd w:fill="12233F"/>
            <w:tcMar>
              <w:top w:w="80" w:type="dxa"/>
              <w:start w:w="80" w:type="dxa"/>
              <w:bottom w:w="80" w:type="dxa"/>
              <w:end w:w="80" w:type="dxa"/>
            </w:tcMar>
          </w:tcPr>
          <w:p>
            <w:r/>
            <w:r>
              <w:rPr>
                <w:rFonts w:ascii="Arial" w:hAnsi="Arial"/>
                <w:b/>
                <w:color w:val="FFFFFF"/>
                <w:sz w:val="15"/>
              </w:rPr>
              <w:t>Security family</w:t>
            </w:r>
          </w:p>
        </w:tc>
        <w:tc>
          <w:tcPr>
            <w:tcW w:type="dxa" w:w="6912"/>
            <w:vAlign w:val="center"/>
            <w:shd w:fill="12233F"/>
            <w:tcMar>
              <w:top w:w="80" w:type="dxa"/>
              <w:start w:w="80" w:type="dxa"/>
              <w:bottom w:w="80" w:type="dxa"/>
              <w:end w:w="80" w:type="dxa"/>
            </w:tcMar>
          </w:tcPr>
          <w:p>
            <w:r/>
            <w:r>
              <w:rPr>
                <w:rFonts w:ascii="Arial" w:hAnsi="Arial"/>
                <w:b/>
                <w:color w:val="FFFFFF"/>
                <w:sz w:val="15"/>
              </w:rPr>
              <w:t>Licensable modules</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AI Security</w:t>
            </w:r>
          </w:p>
        </w:tc>
        <w:tc>
          <w:tcPr>
            <w:tcW w:type="dxa" w:w="6912"/>
            <w:vAlign w:val="center"/>
            <w:tcMar>
              <w:top w:w="80" w:type="dxa"/>
              <w:start w:w="80" w:type="dxa"/>
              <w:bottom w:w="80" w:type="dxa"/>
              <w:end w:w="80" w:type="dxa"/>
            </w:tcMar>
          </w:tcPr>
          <w:p>
            <w:r/>
            <w:r>
              <w:rPr>
                <w:rFonts w:ascii="Arial" w:hAnsi="Arial"/>
                <w:b w:val="0"/>
                <w:color w:val="1F2937"/>
                <w:sz w:val="15"/>
              </w:rPr>
              <w:t>RCSAISEC - AI, Agentic AI and Model Security</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Application Security</w:t>
            </w:r>
          </w:p>
        </w:tc>
        <w:tc>
          <w:tcPr>
            <w:tcW w:type="dxa" w:w="6912"/>
            <w:vAlign w:val="center"/>
            <w:tcMar>
              <w:top w:w="80" w:type="dxa"/>
              <w:start w:w="80" w:type="dxa"/>
              <w:bottom w:w="80" w:type="dxa"/>
              <w:end w:w="80" w:type="dxa"/>
            </w:tcMar>
            <w:shd w:fill="F2F4F7"/>
          </w:tcPr>
          <w:p>
            <w:r/>
            <w:r>
              <w:rPr>
                <w:rFonts w:ascii="Arial" w:hAnsi="Arial"/>
                <w:b w:val="0"/>
                <w:color w:val="1F2937"/>
                <w:sz w:val="15"/>
              </w:rPr>
              <w:t>RCSWEB - WebShield Website Security; RCSAPI - API and Mobile Application Security</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Asset Protection</w:t>
            </w:r>
          </w:p>
        </w:tc>
        <w:tc>
          <w:tcPr>
            <w:tcW w:type="dxa" w:w="6912"/>
            <w:vAlign w:val="center"/>
            <w:tcMar>
              <w:top w:w="80" w:type="dxa"/>
              <w:start w:w="80" w:type="dxa"/>
              <w:bottom w:w="80" w:type="dxa"/>
              <w:end w:w="80" w:type="dxa"/>
            </w:tcMar>
          </w:tcPr>
          <w:p>
            <w:r/>
            <w:r>
              <w:rPr>
                <w:rFonts w:ascii="Arial" w:hAnsi="Arial"/>
                <w:b w:val="0"/>
                <w:color w:val="1F2937"/>
                <w:sz w:val="15"/>
              </w:rPr>
              <w:t>RCSSECURETRACK - SecureTrack AI Device and Asset Recovery</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Automation</w:t>
            </w:r>
          </w:p>
        </w:tc>
        <w:tc>
          <w:tcPr>
            <w:tcW w:type="dxa" w:w="6912"/>
            <w:vAlign w:val="center"/>
            <w:tcMar>
              <w:top w:w="80" w:type="dxa"/>
              <w:start w:w="80" w:type="dxa"/>
              <w:bottom w:w="80" w:type="dxa"/>
              <w:end w:w="80" w:type="dxa"/>
            </w:tcMar>
            <w:shd w:fill="F2F4F7"/>
          </w:tcPr>
          <w:p>
            <w:r/>
            <w:r>
              <w:rPr>
                <w:rFonts w:ascii="Arial" w:hAnsi="Arial"/>
                <w:b w:val="0"/>
                <w:color w:val="1F2937"/>
                <w:sz w:val="15"/>
              </w:rPr>
              <w:t>RCSAUTOMATION - SOAR and Governed Security Automation</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Cloud Native Security</w:t>
            </w:r>
          </w:p>
        </w:tc>
        <w:tc>
          <w:tcPr>
            <w:tcW w:type="dxa" w:w="6912"/>
            <w:vAlign w:val="center"/>
            <w:tcMar>
              <w:top w:w="80" w:type="dxa"/>
              <w:start w:w="80" w:type="dxa"/>
              <w:bottom w:w="80" w:type="dxa"/>
              <w:end w:w="80" w:type="dxa"/>
            </w:tcMar>
          </w:tcPr>
          <w:p>
            <w:r/>
            <w:r>
              <w:rPr>
                <w:rFonts w:ascii="Arial" w:hAnsi="Arial"/>
                <w:b w:val="0"/>
                <w:color w:val="1F2937"/>
                <w:sz w:val="15"/>
              </w:rPr>
              <w:t>RCSCONTAINER - Container and Kubernetes Security</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Cloud Security</w:t>
            </w:r>
          </w:p>
        </w:tc>
        <w:tc>
          <w:tcPr>
            <w:tcW w:type="dxa" w:w="6912"/>
            <w:vAlign w:val="center"/>
            <w:tcMar>
              <w:top w:w="80" w:type="dxa"/>
              <w:start w:w="80" w:type="dxa"/>
              <w:bottom w:w="80" w:type="dxa"/>
              <w:end w:w="80" w:type="dxa"/>
            </w:tcMar>
            <w:shd w:fill="F2F4F7"/>
          </w:tcPr>
          <w:p>
            <w:r/>
            <w:r>
              <w:rPr>
                <w:rFonts w:ascii="Arial" w:hAnsi="Arial"/>
                <w:b w:val="0"/>
                <w:color w:val="1F2937"/>
                <w:sz w:val="15"/>
              </w:rPr>
              <w:t>RCSCLOUD - Cloud Security Posture and Workload Protection</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Cryptographic Security</w:t>
            </w:r>
          </w:p>
        </w:tc>
        <w:tc>
          <w:tcPr>
            <w:tcW w:type="dxa" w:w="6912"/>
            <w:vAlign w:val="center"/>
            <w:tcMar>
              <w:top w:w="80" w:type="dxa"/>
              <w:start w:w="80" w:type="dxa"/>
              <w:bottom w:w="80" w:type="dxa"/>
              <w:end w:w="80" w:type="dxa"/>
            </w:tcMar>
          </w:tcPr>
          <w:p>
            <w:r/>
            <w:r>
              <w:rPr>
                <w:rFonts w:ascii="Arial" w:hAnsi="Arial"/>
                <w:b w:val="0"/>
                <w:color w:val="1F2937"/>
                <w:sz w:val="15"/>
              </w:rPr>
              <w:t>RCSCRYPTO - Cryptographic Agility, PKI and Post-Quantum Readiness</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Data Security</w:t>
            </w:r>
          </w:p>
        </w:tc>
        <w:tc>
          <w:tcPr>
            <w:tcW w:type="dxa" w:w="6912"/>
            <w:vAlign w:val="center"/>
            <w:tcMar>
              <w:top w:w="80" w:type="dxa"/>
              <w:start w:w="80" w:type="dxa"/>
              <w:bottom w:w="80" w:type="dxa"/>
              <w:end w:w="80" w:type="dxa"/>
            </w:tcMar>
            <w:shd w:fill="F2F4F7"/>
          </w:tcPr>
          <w:p>
            <w:r/>
            <w:r>
              <w:rPr>
                <w:rFonts w:ascii="Arial" w:hAnsi="Arial"/>
                <w:b w:val="0"/>
                <w:color w:val="1F2937"/>
                <w:sz w:val="15"/>
              </w:rPr>
              <w:t>RCSVAULT - Data Protection, DSPM and Secure File Vault</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Detection Engineering</w:t>
            </w:r>
          </w:p>
        </w:tc>
        <w:tc>
          <w:tcPr>
            <w:tcW w:type="dxa" w:w="6912"/>
            <w:vAlign w:val="center"/>
            <w:tcMar>
              <w:top w:w="80" w:type="dxa"/>
              <w:start w:w="80" w:type="dxa"/>
              <w:bottom w:w="80" w:type="dxa"/>
              <w:end w:w="80" w:type="dxa"/>
            </w:tcMar>
          </w:tcPr>
          <w:p>
            <w:r/>
            <w:r>
              <w:rPr>
                <w:rFonts w:ascii="Arial" w:hAnsi="Arial"/>
                <w:b w:val="0"/>
                <w:color w:val="1F2937"/>
                <w:sz w:val="15"/>
              </w:rPr>
              <w:t>RCSDECEPTION - Deception and Honeypot Manager; RCSHUNT - Threat Hunting and Detection Engineering</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Endpoint Security</w:t>
            </w:r>
          </w:p>
        </w:tc>
        <w:tc>
          <w:tcPr>
            <w:tcW w:type="dxa" w:w="6912"/>
            <w:vAlign w:val="center"/>
            <w:tcMar>
              <w:top w:w="80" w:type="dxa"/>
              <w:start w:w="80" w:type="dxa"/>
              <w:bottom w:w="80" w:type="dxa"/>
              <w:end w:w="80" w:type="dxa"/>
            </w:tcMar>
            <w:shd w:fill="F2F4F7"/>
          </w:tcPr>
          <w:p>
            <w:r/>
            <w:r>
              <w:rPr>
                <w:rFonts w:ascii="Arial" w:hAnsi="Arial"/>
                <w:b w:val="0"/>
                <w:color w:val="1F2937"/>
                <w:sz w:val="15"/>
              </w:rPr>
              <w:t>RCSENDPOINT - Endpoint Guardian</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Executive Assurance</w:t>
            </w:r>
          </w:p>
        </w:tc>
        <w:tc>
          <w:tcPr>
            <w:tcW w:type="dxa" w:w="6912"/>
            <w:vAlign w:val="center"/>
            <w:tcMar>
              <w:top w:w="80" w:type="dxa"/>
              <w:start w:w="80" w:type="dxa"/>
              <w:bottom w:w="80" w:type="dxa"/>
              <w:end w:w="80" w:type="dxa"/>
            </w:tcMar>
          </w:tcPr>
          <w:p>
            <w:r/>
            <w:r>
              <w:rPr>
                <w:rFonts w:ascii="Arial" w:hAnsi="Arial"/>
                <w:b w:val="0"/>
                <w:color w:val="1F2937"/>
                <w:sz w:val="15"/>
              </w:rPr>
              <w:t>RCSPOSTURE - Security Posture, Board Scorecard and Assurance Reporting</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Exposure Management</w:t>
            </w:r>
          </w:p>
        </w:tc>
        <w:tc>
          <w:tcPr>
            <w:tcW w:type="dxa" w:w="6912"/>
            <w:vAlign w:val="center"/>
            <w:tcMar>
              <w:top w:w="80" w:type="dxa"/>
              <w:start w:w="80" w:type="dxa"/>
              <w:bottom w:w="80" w:type="dxa"/>
              <w:end w:w="80" w:type="dxa"/>
            </w:tcMar>
            <w:shd w:fill="F2F4F7"/>
          </w:tcPr>
          <w:p>
            <w:r/>
            <w:r>
              <w:rPr>
                <w:rFonts w:ascii="Arial" w:hAnsi="Arial"/>
                <w:b w:val="0"/>
                <w:color w:val="1F2937"/>
                <w:sz w:val="15"/>
              </w:rPr>
              <w:t>RCSVASM - Vulnerability and Attack-Surface Manager; RCSATTACKPATH - Security Digital Twin and Attack-Path Intelligence</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External Risk</w:t>
            </w:r>
          </w:p>
        </w:tc>
        <w:tc>
          <w:tcPr>
            <w:tcW w:type="dxa" w:w="6912"/>
            <w:vAlign w:val="center"/>
            <w:tcMar>
              <w:top w:w="80" w:type="dxa"/>
              <w:start w:w="80" w:type="dxa"/>
              <w:bottom w:w="80" w:type="dxa"/>
              <w:end w:w="80" w:type="dxa"/>
            </w:tcMar>
          </w:tcPr>
          <w:p>
            <w:r/>
            <w:r>
              <w:rPr>
                <w:rFonts w:ascii="Arial" w:hAnsi="Arial"/>
                <w:b w:val="0"/>
                <w:color w:val="1F2937"/>
                <w:sz w:val="15"/>
              </w:rPr>
              <w:t>RCSDIGITALRISK - Digital Risk and Brand Impersonation Protection</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Fraud Defence</w:t>
            </w:r>
          </w:p>
        </w:tc>
        <w:tc>
          <w:tcPr>
            <w:tcW w:type="dxa" w:w="6912"/>
            <w:vAlign w:val="center"/>
            <w:tcMar>
              <w:top w:w="80" w:type="dxa"/>
              <w:start w:w="80" w:type="dxa"/>
              <w:bottom w:w="80" w:type="dxa"/>
              <w:end w:w="80" w:type="dxa"/>
            </w:tcMar>
            <w:shd w:fill="F2F4F7"/>
          </w:tcPr>
          <w:p>
            <w:r/>
            <w:r>
              <w:rPr>
                <w:rFonts w:ascii="Arial" w:hAnsi="Arial"/>
                <w:b w:val="0"/>
                <w:color w:val="1F2937"/>
                <w:sz w:val="15"/>
              </w:rPr>
              <w:t>RCSFRAUD - Fraud and Transaction Security Intelligence</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Governance</w:t>
            </w:r>
          </w:p>
        </w:tc>
        <w:tc>
          <w:tcPr>
            <w:tcW w:type="dxa" w:w="6912"/>
            <w:vAlign w:val="center"/>
            <w:tcMar>
              <w:top w:w="80" w:type="dxa"/>
              <w:start w:w="80" w:type="dxa"/>
              <w:bottom w:w="80" w:type="dxa"/>
              <w:end w:w="80" w:type="dxa"/>
            </w:tcMar>
          </w:tcPr>
          <w:p>
            <w:r/>
            <w:r>
              <w:rPr>
                <w:rFonts w:ascii="Arial" w:hAnsi="Arial"/>
                <w:b w:val="0"/>
                <w:color w:val="1F2937"/>
                <w:sz w:val="15"/>
              </w:rPr>
              <w:t>RCSGRC - Compliance, Privacy and Risk Manager; RCSTPRM - Third-Party and Supply-Chain Risk Manager</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Human Risk</w:t>
            </w:r>
          </w:p>
        </w:tc>
        <w:tc>
          <w:tcPr>
            <w:tcW w:type="dxa" w:w="6912"/>
            <w:vAlign w:val="center"/>
            <w:tcMar>
              <w:top w:w="80" w:type="dxa"/>
              <w:start w:w="80" w:type="dxa"/>
              <w:bottom w:w="80" w:type="dxa"/>
              <w:end w:w="80" w:type="dxa"/>
            </w:tcMar>
            <w:shd w:fill="F2F4F7"/>
          </w:tcPr>
          <w:p>
            <w:r/>
            <w:r>
              <w:rPr>
                <w:rFonts w:ascii="Arial" w:hAnsi="Arial"/>
                <w:b w:val="0"/>
                <w:color w:val="1F2937"/>
                <w:sz w:val="15"/>
              </w:rPr>
              <w:t>RCSPHISH - PhishGuard Awareness and Simulation</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Human and Identity Security</w:t>
            </w:r>
          </w:p>
        </w:tc>
        <w:tc>
          <w:tcPr>
            <w:tcW w:type="dxa" w:w="6912"/>
            <w:vAlign w:val="center"/>
            <w:tcMar>
              <w:top w:w="80" w:type="dxa"/>
              <w:start w:w="80" w:type="dxa"/>
              <w:bottom w:w="80" w:type="dxa"/>
              <w:end w:w="80" w:type="dxa"/>
            </w:tcMar>
          </w:tcPr>
          <w:p>
            <w:r/>
            <w:r>
              <w:rPr>
                <w:rFonts w:ascii="Arial" w:hAnsi="Arial"/>
                <w:b w:val="0"/>
                <w:color w:val="1F2937"/>
                <w:sz w:val="15"/>
              </w:rPr>
              <w:t>RCSINSIDER - Insider Risk and User Behaviour Analytics</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Identity Security</w:t>
            </w:r>
          </w:p>
        </w:tc>
        <w:tc>
          <w:tcPr>
            <w:tcW w:type="dxa" w:w="6912"/>
            <w:vAlign w:val="center"/>
            <w:tcMar>
              <w:top w:w="80" w:type="dxa"/>
              <w:start w:w="80" w:type="dxa"/>
              <w:bottom w:w="80" w:type="dxa"/>
              <w:end w:w="80" w:type="dxa"/>
            </w:tcMar>
            <w:shd w:fill="F2F4F7"/>
          </w:tcPr>
          <w:p>
            <w:r/>
            <w:r>
              <w:rPr>
                <w:rFonts w:ascii="Arial" w:hAnsi="Arial"/>
                <w:b w:val="0"/>
                <w:color w:val="1F2937"/>
                <w:sz w:val="15"/>
              </w:rPr>
              <w:t>RCSIDENTITY - Identity Threat Defence and Zero Trust Manager; RCSSECRETS - Secrets, API Key and Machine Identity Security</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Incident Response</w:t>
            </w:r>
          </w:p>
        </w:tc>
        <w:tc>
          <w:tcPr>
            <w:tcW w:type="dxa" w:w="6912"/>
            <w:vAlign w:val="center"/>
            <w:tcMar>
              <w:top w:w="80" w:type="dxa"/>
              <w:start w:w="80" w:type="dxa"/>
              <w:bottom w:w="80" w:type="dxa"/>
              <w:end w:w="80" w:type="dxa"/>
            </w:tcMar>
          </w:tcPr>
          <w:p>
            <w:r/>
            <w:r>
              <w:rPr>
                <w:rFonts w:ascii="Arial" w:hAnsi="Arial"/>
                <w:b w:val="0"/>
                <w:color w:val="1F2937"/>
                <w:sz w:val="15"/>
              </w:rPr>
              <w:t>RCSINCIDENT - Incident Response and Digital Evidence Manager</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Industry Security</w:t>
            </w:r>
          </w:p>
        </w:tc>
        <w:tc>
          <w:tcPr>
            <w:tcW w:type="dxa" w:w="6912"/>
            <w:vAlign w:val="center"/>
            <w:tcMar>
              <w:top w:w="80" w:type="dxa"/>
              <w:start w:w="80" w:type="dxa"/>
              <w:bottom w:w="80" w:type="dxa"/>
              <w:end w:w="80" w:type="dxa"/>
            </w:tcMar>
            <w:shd w:fill="F2F4F7"/>
          </w:tcPr>
          <w:p>
            <w:r/>
            <w:r>
              <w:rPr>
                <w:rFonts w:ascii="Arial" w:hAnsi="Arial"/>
                <w:b w:val="0"/>
                <w:color w:val="1F2937"/>
                <w:sz w:val="15"/>
              </w:rPr>
              <w:t>RCSHOSPITALITY - Hospitality Cyber Defence</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Managed Security</w:t>
            </w:r>
          </w:p>
        </w:tc>
        <w:tc>
          <w:tcPr>
            <w:tcW w:type="dxa" w:w="6912"/>
            <w:vAlign w:val="center"/>
            <w:tcMar>
              <w:top w:w="80" w:type="dxa"/>
              <w:start w:w="80" w:type="dxa"/>
              <w:bottom w:w="80" w:type="dxa"/>
              <w:end w:w="80" w:type="dxa"/>
            </w:tcMar>
          </w:tcPr>
          <w:p>
            <w:r/>
            <w:r>
              <w:rPr>
                <w:rFonts w:ascii="Arial" w:hAnsi="Arial"/>
                <w:b w:val="0"/>
                <w:color w:val="1F2937"/>
                <w:sz w:val="15"/>
              </w:rPr>
              <w:t>RCSMDR - Managed Detection and Response Operations</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Messaging Security</w:t>
            </w:r>
          </w:p>
        </w:tc>
        <w:tc>
          <w:tcPr>
            <w:tcW w:type="dxa" w:w="6912"/>
            <w:vAlign w:val="center"/>
            <w:tcMar>
              <w:top w:w="80" w:type="dxa"/>
              <w:start w:w="80" w:type="dxa"/>
              <w:bottom w:w="80" w:type="dxa"/>
              <w:end w:w="80" w:type="dxa"/>
            </w:tcMar>
            <w:shd w:fill="F2F4F7"/>
          </w:tcPr>
          <w:p>
            <w:r/>
            <w:r>
              <w:rPr>
                <w:rFonts w:ascii="Arial" w:hAnsi="Arial"/>
                <w:b w:val="0"/>
                <w:color w:val="1F2937"/>
                <w:sz w:val="15"/>
              </w:rPr>
              <w:t>RCSEMAIL - Email and Domain Security Manager</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Mobile Security</w:t>
            </w:r>
          </w:p>
        </w:tc>
        <w:tc>
          <w:tcPr>
            <w:tcW w:type="dxa" w:w="6912"/>
            <w:vAlign w:val="center"/>
            <w:tcMar>
              <w:top w:w="80" w:type="dxa"/>
              <w:start w:w="80" w:type="dxa"/>
              <w:bottom w:w="80" w:type="dxa"/>
              <w:end w:w="80" w:type="dxa"/>
            </w:tcMar>
          </w:tcPr>
          <w:p>
            <w:r/>
            <w:r>
              <w:rPr>
                <w:rFonts w:ascii="Arial" w:hAnsi="Arial"/>
                <w:b w:val="0"/>
                <w:color w:val="1F2937"/>
                <w:sz w:val="15"/>
              </w:rPr>
              <w:t>RCSMOBILE - Mobile Device and Application Security</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Network Security</w:t>
            </w:r>
          </w:p>
        </w:tc>
        <w:tc>
          <w:tcPr>
            <w:tcW w:type="dxa" w:w="6912"/>
            <w:vAlign w:val="center"/>
            <w:tcMar>
              <w:top w:w="80" w:type="dxa"/>
              <w:start w:w="80" w:type="dxa"/>
              <w:bottom w:w="80" w:type="dxa"/>
              <w:end w:w="80" w:type="dxa"/>
            </w:tcMar>
            <w:shd w:fill="F2F4F7"/>
          </w:tcPr>
          <w:p>
            <w:r/>
            <w:r>
              <w:rPr>
                <w:rFonts w:ascii="Arial" w:hAnsi="Arial"/>
                <w:b w:val="0"/>
                <w:color w:val="1F2937"/>
                <w:sz w:val="15"/>
              </w:rPr>
              <w:t>RCSNETWORK - Network, Wi-Fi and IoT Security Auditor</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Operational Technology</w:t>
            </w:r>
          </w:p>
        </w:tc>
        <w:tc>
          <w:tcPr>
            <w:tcW w:type="dxa" w:w="6912"/>
            <w:vAlign w:val="center"/>
            <w:tcMar>
              <w:top w:w="80" w:type="dxa"/>
              <w:start w:w="80" w:type="dxa"/>
              <w:bottom w:w="80" w:type="dxa"/>
              <w:end w:w="80" w:type="dxa"/>
            </w:tcMar>
          </w:tcPr>
          <w:p>
            <w:r/>
            <w:r>
              <w:rPr>
                <w:rFonts w:ascii="Arial" w:hAnsi="Arial"/>
                <w:b w:val="0"/>
                <w:color w:val="1F2937"/>
                <w:sz w:val="15"/>
              </w:rPr>
              <w:t>RCSSMARTSEC - Smart Security, OT and ICS Integration</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Platform</w:t>
            </w:r>
          </w:p>
        </w:tc>
        <w:tc>
          <w:tcPr>
            <w:tcW w:type="dxa" w:w="6912"/>
            <w:vAlign w:val="center"/>
            <w:tcMar>
              <w:top w:w="80" w:type="dxa"/>
              <w:start w:w="80" w:type="dxa"/>
              <w:bottom w:w="80" w:type="dxa"/>
              <w:end w:w="80" w:type="dxa"/>
            </w:tcMar>
            <w:shd w:fill="F2F4F7"/>
          </w:tcPr>
          <w:p>
            <w:r/>
            <w:r>
              <w:rPr>
                <w:rFonts w:ascii="Arial" w:hAnsi="Arial"/>
                <w:b w:val="0"/>
                <w:color w:val="1F2937"/>
                <w:sz w:val="15"/>
              </w:rPr>
              <w:t>RCSCORE - Rihuum Sentinel AI Core</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Privacy</w:t>
            </w:r>
          </w:p>
        </w:tc>
        <w:tc>
          <w:tcPr>
            <w:tcW w:type="dxa" w:w="6912"/>
            <w:vAlign w:val="center"/>
            <w:tcMar>
              <w:top w:w="80" w:type="dxa"/>
              <w:start w:w="80" w:type="dxa"/>
              <w:bottom w:w="80" w:type="dxa"/>
              <w:end w:w="80" w:type="dxa"/>
            </w:tcMar>
          </w:tcPr>
          <w:p>
            <w:r/>
            <w:r>
              <w:rPr>
                <w:rFonts w:ascii="Arial" w:hAnsi="Arial"/>
                <w:b w:val="0"/>
                <w:color w:val="1F2937"/>
                <w:sz w:val="15"/>
              </w:rPr>
              <w:t>RCSPRIVACY - Privacy Operations and Data-Protection Automation</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Product Security</w:t>
            </w:r>
          </w:p>
        </w:tc>
        <w:tc>
          <w:tcPr>
            <w:tcW w:type="dxa" w:w="6912"/>
            <w:vAlign w:val="center"/>
            <w:tcMar>
              <w:top w:w="80" w:type="dxa"/>
              <w:start w:w="80" w:type="dxa"/>
              <w:bottom w:w="80" w:type="dxa"/>
              <w:end w:w="80" w:type="dxa"/>
            </w:tcMar>
            <w:shd w:fill="F2F4F7"/>
          </w:tcPr>
          <w:p>
            <w:r/>
            <w:r>
              <w:rPr>
                <w:rFonts w:ascii="Arial" w:hAnsi="Arial"/>
                <w:b w:val="0"/>
                <w:color w:val="1F2937"/>
                <w:sz w:val="15"/>
              </w:rPr>
              <w:t>RCSDEVSECOPS - DevSecOps and Software Supply-Chain Security</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Resilience</w:t>
            </w:r>
          </w:p>
        </w:tc>
        <w:tc>
          <w:tcPr>
            <w:tcW w:type="dxa" w:w="6912"/>
            <w:vAlign w:val="center"/>
            <w:tcMar>
              <w:top w:w="80" w:type="dxa"/>
              <w:start w:w="80" w:type="dxa"/>
              <w:bottom w:w="80" w:type="dxa"/>
              <w:end w:w="80" w:type="dxa"/>
            </w:tcMar>
          </w:tcPr>
          <w:p>
            <w:r/>
            <w:r>
              <w:rPr>
                <w:rFonts w:ascii="Arial" w:hAnsi="Arial"/>
                <w:b w:val="0"/>
                <w:color w:val="1F2937"/>
                <w:sz w:val="15"/>
              </w:rPr>
              <w:t>RCSRANSOM - Ransomware Resilience and Backup Monitor; RCSBCM - Business Continuity and Cyber Resilience Manager</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SaaS Security</w:t>
            </w:r>
          </w:p>
        </w:tc>
        <w:tc>
          <w:tcPr>
            <w:tcW w:type="dxa" w:w="6912"/>
            <w:vAlign w:val="center"/>
            <w:tcMar>
              <w:top w:w="80" w:type="dxa"/>
              <w:start w:w="80" w:type="dxa"/>
              <w:bottom w:w="80" w:type="dxa"/>
              <w:end w:w="80" w:type="dxa"/>
            </w:tcMar>
            <w:shd w:fill="F2F4F7"/>
          </w:tcPr>
          <w:p>
            <w:r/>
            <w:r>
              <w:rPr>
                <w:rFonts w:ascii="Arial" w:hAnsi="Arial"/>
                <w:b w:val="0"/>
                <w:color w:val="1F2937"/>
                <w:sz w:val="15"/>
              </w:rPr>
              <w:t>RCSSAAS - SaaS Security Posture Manager</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Security Operations</w:t>
            </w:r>
          </w:p>
        </w:tc>
        <w:tc>
          <w:tcPr>
            <w:tcW w:type="dxa" w:w="6912"/>
            <w:vAlign w:val="center"/>
            <w:tcMar>
              <w:top w:w="80" w:type="dxa"/>
              <w:start w:w="80" w:type="dxa"/>
              <w:bottom w:w="80" w:type="dxa"/>
              <w:end w:w="80" w:type="dxa"/>
            </w:tcMar>
          </w:tcPr>
          <w:p>
            <w:r/>
            <w:r>
              <w:rPr>
                <w:rFonts w:ascii="Arial" w:hAnsi="Arial"/>
                <w:b w:val="0"/>
                <w:color w:val="1F2937"/>
                <w:sz w:val="15"/>
              </w:rPr>
              <w:t>RCSSOC - Sentinel AI SOC and XDR</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Threat Intelligence</w:t>
            </w:r>
          </w:p>
        </w:tc>
        <w:tc>
          <w:tcPr>
            <w:tcW w:type="dxa" w:w="6912"/>
            <w:vAlign w:val="center"/>
            <w:tcMar>
              <w:top w:w="80" w:type="dxa"/>
              <w:start w:w="80" w:type="dxa"/>
              <w:bottom w:w="80" w:type="dxa"/>
              <w:end w:w="80" w:type="dxa"/>
            </w:tcMar>
            <w:shd w:fill="F2F4F7"/>
          </w:tcPr>
          <w:p>
            <w:r/>
            <w:r>
              <w:rPr>
                <w:rFonts w:ascii="Arial" w:hAnsi="Arial"/>
                <w:b w:val="0"/>
                <w:color w:val="1F2937"/>
                <w:sz w:val="15"/>
              </w:rPr>
              <w:t>RCSTHREAT - Threat Intelligence Manager</w:t>
            </w:r>
          </w:p>
        </w:tc>
      </w:tr>
      <w:tr>
        <w:trPr>
          <w:cantSplit/>
        </w:trPr>
        <w:tc>
          <w:tcPr>
            <w:tcW w:type="dxa" w:w="2736"/>
            <w:vAlign w:val="center"/>
            <w:tcMar>
              <w:top w:w="80" w:type="dxa"/>
              <w:start w:w="80" w:type="dxa"/>
              <w:bottom w:w="80" w:type="dxa"/>
              <w:end w:w="80" w:type="dxa"/>
            </w:tcMar>
          </w:tcPr>
          <w:p>
            <w:r/>
            <w:r>
              <w:rPr>
                <w:rFonts w:ascii="Arial" w:hAnsi="Arial"/>
                <w:b w:val="0"/>
                <w:color w:val="1F2937"/>
                <w:sz w:val="15"/>
              </w:rPr>
              <w:t>Training</w:t>
            </w:r>
          </w:p>
        </w:tc>
        <w:tc>
          <w:tcPr>
            <w:tcW w:type="dxa" w:w="6912"/>
            <w:vAlign w:val="center"/>
            <w:tcMar>
              <w:top w:w="80" w:type="dxa"/>
              <w:start w:w="80" w:type="dxa"/>
              <w:bottom w:w="80" w:type="dxa"/>
              <w:end w:w="80" w:type="dxa"/>
            </w:tcMar>
          </w:tcPr>
          <w:p>
            <w:r/>
            <w:r>
              <w:rPr>
                <w:rFonts w:ascii="Arial" w:hAnsi="Arial"/>
                <w:b w:val="0"/>
                <w:color w:val="1F2937"/>
                <w:sz w:val="15"/>
              </w:rPr>
              <w:t>RCSCYBERRANGE - Cyber Range and Ethical Hacking Laboratory</w:t>
            </w:r>
          </w:p>
        </w:tc>
      </w:tr>
      <w:tr>
        <w:trPr>
          <w:cantSplit/>
        </w:trPr>
        <w:tc>
          <w:tcPr>
            <w:tcW w:type="dxa" w:w="2736"/>
            <w:vAlign w:val="center"/>
            <w:tcMar>
              <w:top w:w="80" w:type="dxa"/>
              <w:start w:w="80" w:type="dxa"/>
              <w:bottom w:w="80" w:type="dxa"/>
              <w:end w:w="80" w:type="dxa"/>
            </w:tcMar>
            <w:shd w:fill="F2F4F7"/>
          </w:tcPr>
          <w:p>
            <w:r/>
            <w:r>
              <w:rPr>
                <w:rFonts w:ascii="Arial" w:hAnsi="Arial"/>
                <w:b w:val="0"/>
                <w:color w:val="1F2937"/>
                <w:sz w:val="15"/>
              </w:rPr>
              <w:t>Workforce Security</w:t>
            </w:r>
          </w:p>
        </w:tc>
        <w:tc>
          <w:tcPr>
            <w:tcW w:type="dxa" w:w="6912"/>
            <w:vAlign w:val="center"/>
            <w:tcMar>
              <w:top w:w="80" w:type="dxa"/>
              <w:start w:w="80" w:type="dxa"/>
              <w:bottom w:w="80" w:type="dxa"/>
              <w:end w:w="80" w:type="dxa"/>
            </w:tcMar>
            <w:shd w:fill="F2F4F7"/>
          </w:tcPr>
          <w:p>
            <w:r/>
            <w:r>
              <w:rPr>
                <w:rFonts w:ascii="Arial" w:hAnsi="Arial"/>
                <w:b w:val="0"/>
                <w:color w:val="1F2937"/>
                <w:sz w:val="15"/>
              </w:rPr>
              <w:t>RCSREMOTE - Remote Workforce and Collaboration Security</w:t>
            </w:r>
          </w:p>
        </w:tc>
      </w:tr>
    </w:tbl>
    <w:p>
      <w:pPr>
        <w:pStyle w:val="SmallNote"/>
      </w:pPr>
      <w:r>
        <w:t>Maturity at v0.2.0-alpha: 23 module foundations, 14 adapter-required modules and 3 planned modules. Registration or navigation does not prove live operational depth. The Product Charter and release evidence record govern capability claims.</w:t>
      </w:r>
    </w:p>
    <w:p>
      <w:pPr>
        <w:pStyle w:val="Heading2"/>
      </w:pPr>
      <w:r>
        <w:t>38.5 Scope Guardian and authorised assessment model</w:t>
      </w:r>
    </w:p>
    <w:p>
      <w:pPr>
        <w:pStyle w:val="ListNumber"/>
      </w:pPr>
      <w:r>
        <w:t>Verify customer identity, legal owner and asset ownership evidence.</w:t>
      </w:r>
    </w:p>
    <w:p>
      <w:pPr>
        <w:pStyle w:val="ListNumber"/>
      </w:pPr>
      <w:r>
        <w:t>Record written authorisation, permitted modules, actions, modes, dates, maintenance windows, data handling and emergency contacts.</w:t>
      </w:r>
    </w:p>
    <w:p>
      <w:pPr>
        <w:pStyle w:val="ListNumber"/>
      </w:pPr>
      <w:r>
        <w:t>Canonicalise and hash every target; reject credentials, query strings, malformed ranges and central access to private networks.</w:t>
      </w:r>
    </w:p>
    <w:p>
      <w:pPr>
        <w:pStyle w:val="ListNumber"/>
      </w:pPr>
      <w:r>
        <w:t>Validate the server-side module entitlement and exact assessment scope.</w:t>
      </w:r>
    </w:p>
    <w:p>
      <w:pPr>
        <w:pStyle w:val="ListNumber"/>
      </w:pPr>
      <w:r>
        <w:t>Match the operation to shared-control-plane, collector, hybrid, external-provider or lab-only execution tier.</w:t>
      </w:r>
    </w:p>
    <w:p>
      <w:pPr>
        <w:pStyle w:val="ListNumber"/>
      </w:pPr>
      <w:r>
        <w:t>Require separate approval for controlled intrusive validation or reversible response action.</w:t>
      </w:r>
    </w:p>
    <w:p>
      <w:pPr>
        <w:pStyle w:val="ListNumber"/>
      </w:pPr>
      <w:r>
        <w:t>Apply emergency stop, rate, concurrency, body/response, data-minimisation and retention controls.</w:t>
      </w:r>
    </w:p>
    <w:p>
      <w:pPr>
        <w:pStyle w:val="ListNumber"/>
      </w:pPr>
      <w:r>
        <w:t>Record actor, reason, target, policy decision, correlation reference, result, evidence and rollback status.</w:t>
      </w:r>
    </w:p>
    <w:p>
      <w:pPr>
        <w:pStyle w:val="Heading2"/>
      </w:pPr>
      <w:r>
        <w:t>38.6 AI security and autonomous defence boundary</w:t>
      </w:r>
    </w:p>
    <w:tbl>
      <w:tblPr>
        <w:tblStyle w:val="TableGrid"/>
        <w:tblW w:type="auto" w:w="0"/>
        <w:jc w:val="center"/>
        <w:tblLook w:firstColumn="1" w:firstRow="1" w:lastColumn="0" w:lastRow="0" w:noHBand="0" w:noVBand="1" w:val="04A0"/>
      </w:tblPr>
      <w:tblGrid>
        <w:gridCol w:w="2880"/>
        <w:gridCol w:w="2880"/>
        <w:gridCol w:w="2880"/>
      </w:tblGrid>
      <w:tr>
        <w:trPr>
          <w:tblHeader w:val="true"/>
          <w:cantSplit/>
        </w:trPr>
        <w:tc>
          <w:tcPr>
            <w:tcW w:type="dxa" w:w="1944"/>
            <w:vAlign w:val="center"/>
            <w:shd w:fill="12233F"/>
            <w:tcMar>
              <w:top w:w="80" w:type="dxa"/>
              <w:start w:w="80" w:type="dxa"/>
              <w:bottom w:w="80" w:type="dxa"/>
              <w:end w:w="80" w:type="dxa"/>
            </w:tcMar>
          </w:tcPr>
          <w:p>
            <w:r/>
            <w:r>
              <w:rPr>
                <w:rFonts w:ascii="Arial" w:hAnsi="Arial"/>
                <w:b/>
                <w:color w:val="FFFFFF"/>
                <w:sz w:val="15"/>
              </w:rPr>
              <w:t>Capability</w:t>
            </w:r>
          </w:p>
        </w:tc>
        <w:tc>
          <w:tcPr>
            <w:tcW w:type="dxa" w:w="3240"/>
            <w:vAlign w:val="center"/>
            <w:shd w:fill="12233F"/>
            <w:tcMar>
              <w:top w:w="80" w:type="dxa"/>
              <w:start w:w="80" w:type="dxa"/>
              <w:bottom w:w="80" w:type="dxa"/>
              <w:end w:w="80" w:type="dxa"/>
            </w:tcMar>
          </w:tcPr>
          <w:p>
            <w:r/>
            <w:r>
              <w:rPr>
                <w:rFonts w:ascii="Arial" w:hAnsi="Arial"/>
                <w:b/>
                <w:color w:val="FFFFFF"/>
                <w:sz w:val="15"/>
              </w:rPr>
              <w:t>Allowed role</w:t>
            </w:r>
          </w:p>
        </w:tc>
        <w:tc>
          <w:tcPr>
            <w:tcW w:type="dxa" w:w="4464"/>
            <w:vAlign w:val="center"/>
            <w:shd w:fill="12233F"/>
            <w:tcMar>
              <w:top w:w="80" w:type="dxa"/>
              <w:start w:w="80" w:type="dxa"/>
              <w:bottom w:w="80" w:type="dxa"/>
              <w:end w:w="80" w:type="dxa"/>
            </w:tcMar>
          </w:tcPr>
          <w:p>
            <w:r/>
            <w:r>
              <w:rPr>
                <w:rFonts w:ascii="Arial" w:hAnsi="Arial"/>
                <w:b/>
                <w:color w:val="FFFFFF"/>
                <w:sz w:val="15"/>
              </w:rPr>
              <w:t>Mandatory boundary</w:t>
            </w:r>
          </w:p>
        </w:tc>
      </w:tr>
      <w:tr>
        <w:trPr>
          <w:cantSplit/>
        </w:trPr>
        <w:tc>
          <w:tcPr>
            <w:tcW w:type="dxa" w:w="1944"/>
            <w:vAlign w:val="center"/>
            <w:tcMar>
              <w:top w:w="80" w:type="dxa"/>
              <w:start w:w="80" w:type="dxa"/>
              <w:bottom w:w="80" w:type="dxa"/>
              <w:end w:w="80" w:type="dxa"/>
            </w:tcMar>
          </w:tcPr>
          <w:p>
            <w:r/>
            <w:r>
              <w:rPr>
                <w:rFonts w:ascii="Arial" w:hAnsi="Arial"/>
                <w:b w:val="0"/>
                <w:color w:val="1F2937"/>
                <w:sz w:val="15"/>
              </w:rPr>
              <w:t>Security copilot</w:t>
            </w:r>
          </w:p>
        </w:tc>
        <w:tc>
          <w:tcPr>
            <w:tcW w:type="dxa" w:w="3240"/>
            <w:vAlign w:val="center"/>
            <w:tcMar>
              <w:top w:w="80" w:type="dxa"/>
              <w:start w:w="80" w:type="dxa"/>
              <w:bottom w:w="80" w:type="dxa"/>
              <w:end w:w="80" w:type="dxa"/>
            </w:tcMar>
          </w:tcPr>
          <w:p>
            <w:r/>
            <w:r>
              <w:rPr>
                <w:rFonts w:ascii="Arial" w:hAnsi="Arial"/>
                <w:b w:val="0"/>
                <w:color w:val="1F2937"/>
                <w:sz w:val="15"/>
              </w:rPr>
              <w:t>Search, explain, summarise, draft, correlate and recommend</w:t>
            </w:r>
          </w:p>
        </w:tc>
        <w:tc>
          <w:tcPr>
            <w:tcW w:type="dxa" w:w="4464"/>
            <w:vAlign w:val="center"/>
            <w:tcMar>
              <w:top w:w="80" w:type="dxa"/>
              <w:start w:w="80" w:type="dxa"/>
              <w:bottom w:w="80" w:type="dxa"/>
              <w:end w:w="80" w:type="dxa"/>
            </w:tcMar>
          </w:tcPr>
          <w:p>
            <w:r/>
            <w:r>
              <w:rPr>
                <w:rFonts w:ascii="Arial" w:hAnsi="Arial"/>
                <w:b w:val="0"/>
                <w:color w:val="1F2937"/>
                <w:sz w:val="15"/>
              </w:rPr>
              <w:t>Role-filtered sources, citations/provenance, redaction and uncertainty.</w:t>
            </w:r>
          </w:p>
        </w:tc>
      </w:tr>
      <w:tr>
        <w:trPr>
          <w:cantSplit/>
        </w:trPr>
        <w:tc>
          <w:tcPr>
            <w:tcW w:type="dxa" w:w="1944"/>
            <w:vAlign w:val="center"/>
            <w:tcMar>
              <w:top w:w="80" w:type="dxa"/>
              <w:start w:w="80" w:type="dxa"/>
              <w:bottom w:w="80" w:type="dxa"/>
              <w:end w:w="80" w:type="dxa"/>
            </w:tcMar>
            <w:shd w:fill="F2F4F7"/>
          </w:tcPr>
          <w:p>
            <w:r/>
            <w:r>
              <w:rPr>
                <w:rFonts w:ascii="Arial" w:hAnsi="Arial"/>
                <w:b w:val="0"/>
                <w:color w:val="1F2937"/>
                <w:sz w:val="15"/>
              </w:rPr>
              <w:t>Detection engineering</w:t>
            </w:r>
          </w:p>
        </w:tc>
        <w:tc>
          <w:tcPr>
            <w:tcW w:type="dxa" w:w="3240"/>
            <w:vAlign w:val="center"/>
            <w:tcMar>
              <w:top w:w="80" w:type="dxa"/>
              <w:start w:w="80" w:type="dxa"/>
              <w:bottom w:w="80" w:type="dxa"/>
              <w:end w:w="80" w:type="dxa"/>
            </w:tcMar>
            <w:shd w:fill="F2F4F7"/>
          </w:tcPr>
          <w:p>
            <w:r/>
            <w:r>
              <w:rPr>
                <w:rFonts w:ascii="Arial" w:hAnsi="Arial"/>
                <w:b w:val="0"/>
                <w:color w:val="1F2937"/>
                <w:sz w:val="15"/>
              </w:rPr>
              <w:t>Generate or validate bounded read-only rule DSL</w:t>
            </w:r>
          </w:p>
        </w:tc>
        <w:tc>
          <w:tcPr>
            <w:tcW w:type="dxa" w:w="4464"/>
            <w:vAlign w:val="center"/>
            <w:tcMar>
              <w:top w:w="80" w:type="dxa"/>
              <w:start w:w="80" w:type="dxa"/>
              <w:bottom w:w="80" w:type="dxa"/>
              <w:end w:w="80" w:type="dxa"/>
            </w:tcMar>
            <w:shd w:fill="F2F4F7"/>
          </w:tcPr>
          <w:p>
            <w:r/>
            <w:r>
              <w:rPr>
                <w:rFonts w:ascii="Arial" w:hAnsi="Arial"/>
                <w:b w:val="0"/>
                <w:color w:val="1F2937"/>
                <w:sz w:val="15"/>
              </w:rPr>
              <w:t>No shell or SQL execution; testing and approval lifecycle.</w:t>
            </w:r>
          </w:p>
        </w:tc>
      </w:tr>
      <w:tr>
        <w:trPr>
          <w:cantSplit/>
        </w:trPr>
        <w:tc>
          <w:tcPr>
            <w:tcW w:type="dxa" w:w="1944"/>
            <w:vAlign w:val="center"/>
            <w:tcMar>
              <w:top w:w="80" w:type="dxa"/>
              <w:start w:w="80" w:type="dxa"/>
              <w:bottom w:w="80" w:type="dxa"/>
              <w:end w:w="80" w:type="dxa"/>
            </w:tcMar>
          </w:tcPr>
          <w:p>
            <w:r/>
            <w:r>
              <w:rPr>
                <w:rFonts w:ascii="Arial" w:hAnsi="Arial"/>
                <w:b w:val="0"/>
                <w:color w:val="1F2937"/>
                <w:sz w:val="15"/>
              </w:rPr>
              <w:t>Evidence fusion</w:t>
            </w:r>
          </w:p>
        </w:tc>
        <w:tc>
          <w:tcPr>
            <w:tcW w:type="dxa" w:w="3240"/>
            <w:vAlign w:val="center"/>
            <w:tcMar>
              <w:top w:w="80" w:type="dxa"/>
              <w:start w:w="80" w:type="dxa"/>
              <w:bottom w:w="80" w:type="dxa"/>
              <w:end w:w="80" w:type="dxa"/>
            </w:tcMar>
          </w:tcPr>
          <w:p>
            <w:r/>
            <w:r>
              <w:rPr>
                <w:rFonts w:ascii="Arial" w:hAnsi="Arial"/>
                <w:b w:val="0"/>
                <w:color w:val="1F2937"/>
                <w:sz w:val="15"/>
              </w:rPr>
              <w:t>Combine confidence and corroboration from independent sources</w:t>
            </w:r>
          </w:p>
        </w:tc>
        <w:tc>
          <w:tcPr>
            <w:tcW w:type="dxa" w:w="4464"/>
            <w:vAlign w:val="center"/>
            <w:tcMar>
              <w:top w:w="80" w:type="dxa"/>
              <w:start w:w="80" w:type="dxa"/>
              <w:bottom w:w="80" w:type="dxa"/>
              <w:end w:w="80" w:type="dxa"/>
            </w:tcMar>
          </w:tcPr>
          <w:p>
            <w:r/>
            <w:r>
              <w:rPr>
                <w:rFonts w:ascii="Arial" w:hAnsi="Arial"/>
                <w:b w:val="0"/>
                <w:color w:val="1F2937"/>
                <w:sz w:val="15"/>
              </w:rPr>
              <w:t>Never replace source evidence or hide contradictory signals.</w:t>
            </w:r>
          </w:p>
        </w:tc>
      </w:tr>
      <w:tr>
        <w:trPr>
          <w:cantSplit/>
        </w:trPr>
        <w:tc>
          <w:tcPr>
            <w:tcW w:type="dxa" w:w="1944"/>
            <w:vAlign w:val="center"/>
            <w:tcMar>
              <w:top w:w="80" w:type="dxa"/>
              <w:start w:w="80" w:type="dxa"/>
              <w:bottom w:w="80" w:type="dxa"/>
              <w:end w:w="80" w:type="dxa"/>
            </w:tcMar>
            <w:shd w:fill="F2F4F7"/>
          </w:tcPr>
          <w:p>
            <w:r/>
            <w:r>
              <w:rPr>
                <w:rFonts w:ascii="Arial" w:hAnsi="Arial"/>
                <w:b w:val="0"/>
                <w:color w:val="1F2937"/>
                <w:sz w:val="15"/>
              </w:rPr>
              <w:t>Security digital twin</w:t>
            </w:r>
          </w:p>
        </w:tc>
        <w:tc>
          <w:tcPr>
            <w:tcW w:type="dxa" w:w="3240"/>
            <w:vAlign w:val="center"/>
            <w:tcMar>
              <w:top w:w="80" w:type="dxa"/>
              <w:start w:w="80" w:type="dxa"/>
              <w:bottom w:w="80" w:type="dxa"/>
              <w:end w:w="80" w:type="dxa"/>
            </w:tcMar>
            <w:shd w:fill="F2F4F7"/>
          </w:tcPr>
          <w:p>
            <w:r/>
            <w:r>
              <w:rPr>
                <w:rFonts w:ascii="Arial" w:hAnsi="Arial"/>
                <w:b w:val="0"/>
                <w:color w:val="1F2937"/>
                <w:sz w:val="15"/>
              </w:rPr>
              <w:t>Rank bounded attack paths from registered assets and relationships</w:t>
            </w:r>
          </w:p>
        </w:tc>
        <w:tc>
          <w:tcPr>
            <w:tcW w:type="dxa" w:w="4464"/>
            <w:vAlign w:val="center"/>
            <w:tcMar>
              <w:top w:w="80" w:type="dxa"/>
              <w:start w:w="80" w:type="dxa"/>
              <w:bottom w:w="80" w:type="dxa"/>
              <w:end w:w="80" w:type="dxa"/>
            </w:tcMar>
            <w:shd w:fill="F2F4F7"/>
          </w:tcPr>
          <w:p>
            <w:r/>
            <w:r>
              <w:rPr>
                <w:rFonts w:ascii="Arial" w:hAnsi="Arial"/>
                <w:b w:val="0"/>
                <w:color w:val="1F2937"/>
                <w:sz w:val="15"/>
              </w:rPr>
              <w:t>No contact with assets unless a separately authorised assessment exists.</w:t>
            </w:r>
          </w:p>
        </w:tc>
      </w:tr>
      <w:tr>
        <w:trPr>
          <w:cantSplit/>
        </w:trPr>
        <w:tc>
          <w:tcPr>
            <w:tcW w:type="dxa" w:w="1944"/>
            <w:vAlign w:val="center"/>
            <w:tcMar>
              <w:top w:w="80" w:type="dxa"/>
              <w:start w:w="80" w:type="dxa"/>
              <w:bottom w:w="80" w:type="dxa"/>
              <w:end w:w="80" w:type="dxa"/>
            </w:tcMar>
          </w:tcPr>
          <w:p>
            <w:r/>
            <w:r>
              <w:rPr>
                <w:rFonts w:ascii="Arial" w:hAnsi="Arial"/>
                <w:b w:val="0"/>
                <w:color w:val="1F2937"/>
                <w:sz w:val="15"/>
              </w:rPr>
              <w:t>SOAR</w:t>
            </w:r>
          </w:p>
        </w:tc>
        <w:tc>
          <w:tcPr>
            <w:tcW w:type="dxa" w:w="3240"/>
            <w:vAlign w:val="center"/>
            <w:tcMar>
              <w:top w:w="80" w:type="dxa"/>
              <w:start w:w="80" w:type="dxa"/>
              <w:bottom w:w="80" w:type="dxa"/>
              <w:end w:w="80" w:type="dxa"/>
            </w:tcMar>
          </w:tcPr>
          <w:p>
            <w:r/>
            <w:r>
              <w:rPr>
                <w:rFonts w:ascii="Arial" w:hAnsi="Arial"/>
                <w:b w:val="0"/>
                <w:color w:val="1F2937"/>
                <w:sz w:val="15"/>
              </w:rPr>
              <w:t>Prepare or execute reversible approved actions</w:t>
            </w:r>
          </w:p>
        </w:tc>
        <w:tc>
          <w:tcPr>
            <w:tcW w:type="dxa" w:w="4464"/>
            <w:vAlign w:val="center"/>
            <w:tcMar>
              <w:top w:w="80" w:type="dxa"/>
              <w:start w:w="80" w:type="dxa"/>
              <w:bottom w:w="80" w:type="dxa"/>
              <w:end w:w="80" w:type="dxa"/>
            </w:tcMar>
          </w:tcPr>
          <w:p>
            <w:r/>
            <w:r>
              <w:rPr>
                <w:rFonts w:ascii="Arial" w:hAnsi="Arial"/>
                <w:b w:val="0"/>
                <w:color w:val="1F2937"/>
                <w:sz w:val="15"/>
              </w:rPr>
              <w:t>Dual control, exact connector, idempotency, rollback and post-check.</w:t>
            </w:r>
          </w:p>
        </w:tc>
      </w:tr>
      <w:tr>
        <w:trPr>
          <w:cantSplit/>
        </w:trPr>
        <w:tc>
          <w:tcPr>
            <w:tcW w:type="dxa" w:w="1944"/>
            <w:vAlign w:val="center"/>
            <w:tcMar>
              <w:top w:w="80" w:type="dxa"/>
              <w:start w:w="80" w:type="dxa"/>
              <w:bottom w:w="80" w:type="dxa"/>
              <w:end w:w="80" w:type="dxa"/>
            </w:tcMar>
            <w:shd w:fill="F2F4F7"/>
          </w:tcPr>
          <w:p>
            <w:r/>
            <w:r>
              <w:rPr>
                <w:rFonts w:ascii="Arial" w:hAnsi="Arial"/>
                <w:b w:val="0"/>
                <w:color w:val="1F2937"/>
                <w:sz w:val="15"/>
              </w:rPr>
              <w:t>AI/agent security</w:t>
            </w:r>
          </w:p>
        </w:tc>
        <w:tc>
          <w:tcPr>
            <w:tcW w:type="dxa" w:w="3240"/>
            <w:vAlign w:val="center"/>
            <w:tcMar>
              <w:top w:w="80" w:type="dxa"/>
              <w:start w:w="80" w:type="dxa"/>
              <w:bottom w:w="80" w:type="dxa"/>
              <w:end w:w="80" w:type="dxa"/>
            </w:tcMar>
            <w:shd w:fill="F2F4F7"/>
          </w:tcPr>
          <w:p>
            <w:r/>
            <w:r>
              <w:rPr>
                <w:rFonts w:ascii="Arial" w:hAnsi="Arial"/>
                <w:b w:val="0"/>
                <w:color w:val="1F2937"/>
                <w:sz w:val="15"/>
              </w:rPr>
              <w:t>Assess prompts, tools, memory, models, retrieval and automation</w:t>
            </w:r>
          </w:p>
        </w:tc>
        <w:tc>
          <w:tcPr>
            <w:tcW w:type="dxa" w:w="4464"/>
            <w:vAlign w:val="center"/>
            <w:tcMar>
              <w:top w:w="80" w:type="dxa"/>
              <w:start w:w="80" w:type="dxa"/>
              <w:bottom w:w="80" w:type="dxa"/>
              <w:end w:w="80" w:type="dxa"/>
            </w:tcMar>
            <w:shd w:fill="F2F4F7"/>
          </w:tcPr>
          <w:p>
            <w:r/>
            <w:r>
              <w:rPr>
                <w:rFonts w:ascii="Arial" w:hAnsi="Arial"/>
                <w:b w:val="0"/>
                <w:color w:val="1F2937"/>
                <w:sz w:val="15"/>
              </w:rPr>
              <w:t>AISVS/ATLAS-aligned tests, kill switch and no secret exposure.</w:t>
            </w:r>
          </w:p>
        </w:tc>
      </w:tr>
    </w:tbl>
    <w:p>
      <w:pPr>
        <w:pStyle w:val="Heading2"/>
      </w:pPr>
      <w:r>
        <w:t>38.7 Data, evidence and privacy architecture</w:t>
      </w:r>
    </w:p>
    <w:p>
      <w:pPr>
        <w:pStyle w:val="ListBullet"/>
      </w:pPr>
      <w:r>
        <w:t>Tenant and property context is server-derived; client-supplied tenant identifiers are never trusted for authorisation.</w:t>
      </w:r>
    </w:p>
    <w:p>
      <w:pPr>
        <w:pStyle w:val="ListBullet"/>
      </w:pPr>
      <w:r>
        <w:t>Secrets are encrypted or represented by aliases/hashes; private keys, passwords, access tokens, full card data and raw biometrics are prohibited in ordinary events, evidence and AI prompts.</w:t>
      </w:r>
    </w:p>
    <w:p>
      <w:pPr>
        <w:pStyle w:val="ListBullet"/>
      </w:pPr>
      <w:r>
        <w:t>Evidence includes hash, source, actor, timestamp, correlation, classification, retention, access history and legal-hold status.</w:t>
      </w:r>
    </w:p>
    <w:p>
      <w:pPr>
        <w:pStyle w:val="ListBullet"/>
      </w:pPr>
      <w:r>
        <w:t>Incident, finding, risk and remediation records have explicit status transitions and accountable owners.</w:t>
      </w:r>
    </w:p>
    <w:p>
      <w:pPr>
        <w:pStyle w:val="ListBullet"/>
      </w:pPr>
      <w:r>
        <w:t>Cryptographic inventory records algorithm, key length, expiry, dependency, deprecation and post-quantum transition status without collecting secret key material.</w:t>
      </w:r>
    </w:p>
    <w:p>
      <w:pPr>
        <w:pStyle w:val="ListBullet"/>
      </w:pPr>
      <w:r>
        <w:t>Behaviour analytics uses minimised subject hashes and requires privacy review, proportionality, explainability and human investigation.</w:t>
      </w:r>
    </w:p>
    <w:p>
      <w:pPr>
        <w:pStyle w:val="Heading2"/>
      </w:pPr>
      <w:r>
        <w:t>38.8 RAHIS Hospitality Cyber Defence integration</w:t>
      </w:r>
    </w:p>
    <w:tbl>
      <w:tblPr>
        <w:tblStyle w:val="TableGrid"/>
        <w:tblW w:type="auto" w:w="0"/>
        <w:jc w:val="center"/>
        <w:tblLook w:firstColumn="1" w:firstRow="1" w:lastColumn="0" w:lastRow="0" w:noHBand="0" w:noVBand="1" w:val="04A0"/>
      </w:tblPr>
      <w:tblGrid>
        <w:gridCol w:w="4320"/>
        <w:gridCol w:w="4320"/>
      </w:tblGrid>
      <w:tr>
        <w:trPr>
          <w:tblHeader w:val="true"/>
          <w:cantSplit/>
        </w:trPr>
        <w:tc>
          <w:tcPr>
            <w:tcW w:type="dxa" w:w="2304"/>
            <w:vAlign w:val="center"/>
            <w:shd w:fill="12233F"/>
            <w:tcMar>
              <w:top w:w="80" w:type="dxa"/>
              <w:start w:w="80" w:type="dxa"/>
              <w:bottom w:w="80" w:type="dxa"/>
              <w:end w:w="80" w:type="dxa"/>
            </w:tcMar>
          </w:tcPr>
          <w:p>
            <w:r/>
            <w:r>
              <w:rPr>
                <w:rFonts w:ascii="Arial" w:hAnsi="Arial"/>
                <w:b/>
                <w:color w:val="FFFFFF"/>
                <w:sz w:val="16"/>
              </w:rPr>
              <w:t>Integration element</w:t>
            </w:r>
          </w:p>
        </w:tc>
        <w:tc>
          <w:tcPr>
            <w:tcW w:type="dxa" w:w="7343"/>
            <w:vAlign w:val="center"/>
            <w:shd w:fill="12233F"/>
            <w:tcMar>
              <w:top w:w="80" w:type="dxa"/>
              <w:start w:w="80" w:type="dxa"/>
              <w:bottom w:w="80" w:type="dxa"/>
              <w:end w:w="80" w:type="dxa"/>
            </w:tcMar>
          </w:tcPr>
          <w:p>
            <w:r/>
            <w:r>
              <w:rPr>
                <w:rFonts w:ascii="Arial" w:hAnsi="Arial"/>
                <w:b/>
                <w:color w:val="FFFFFF"/>
                <w:sz w:val="16"/>
              </w:rPr>
              <w:t>Controlled behaviour</w:t>
            </w:r>
          </w:p>
        </w:tc>
      </w:tr>
      <w:tr>
        <w:trPr>
          <w:cantSplit/>
        </w:trPr>
        <w:tc>
          <w:tcPr>
            <w:tcW w:type="dxa" w:w="2304"/>
            <w:vAlign w:val="center"/>
            <w:tcMar>
              <w:top w:w="80" w:type="dxa"/>
              <w:start w:w="80" w:type="dxa"/>
              <w:bottom w:w="80" w:type="dxa"/>
              <w:end w:w="80" w:type="dxa"/>
            </w:tcMar>
          </w:tcPr>
          <w:p>
            <w:r/>
            <w:r>
              <w:rPr>
                <w:rFonts w:ascii="Arial" w:hAnsi="Arial"/>
                <w:b w:val="0"/>
                <w:color w:val="1F2937"/>
                <w:sz w:val="16"/>
              </w:rPr>
              <w:t>Direction</w:t>
            </w:r>
          </w:p>
        </w:tc>
        <w:tc>
          <w:tcPr>
            <w:tcW w:type="dxa" w:w="7343"/>
            <w:vAlign w:val="center"/>
            <w:tcMar>
              <w:top w:w="80" w:type="dxa"/>
              <w:start w:w="80" w:type="dxa"/>
              <w:bottom w:w="80" w:type="dxa"/>
              <w:end w:w="80" w:type="dxa"/>
            </w:tcMar>
          </w:tcPr>
          <w:p>
            <w:r/>
            <w:r>
              <w:rPr>
                <w:rFonts w:ascii="Arial" w:hAnsi="Arial"/>
                <w:b w:val="0"/>
                <w:color w:val="1F2937"/>
                <w:sz w:val="16"/>
              </w:rPr>
              <w:t>RAHIS sends minimised security events outbound through a durable outbox.</w:t>
            </w:r>
          </w:p>
        </w:tc>
      </w:tr>
      <w:tr>
        <w:trPr>
          <w:cantSplit/>
        </w:trPr>
        <w:tc>
          <w:tcPr>
            <w:tcW w:type="dxa" w:w="2304"/>
            <w:vAlign w:val="center"/>
            <w:tcMar>
              <w:top w:w="80" w:type="dxa"/>
              <w:start w:w="80" w:type="dxa"/>
              <w:bottom w:w="80" w:type="dxa"/>
              <w:end w:w="80" w:type="dxa"/>
            </w:tcMar>
            <w:shd w:fill="F2F4F7"/>
          </w:tcPr>
          <w:p>
            <w:r/>
            <w:r>
              <w:rPr>
                <w:rFonts w:ascii="Arial" w:hAnsi="Arial"/>
                <w:b w:val="0"/>
                <w:color w:val="1F2937"/>
                <w:sz w:val="16"/>
              </w:rPr>
              <w:t>Authentication</w:t>
            </w:r>
          </w:p>
        </w:tc>
        <w:tc>
          <w:tcPr>
            <w:tcW w:type="dxa" w:w="7343"/>
            <w:vAlign w:val="center"/>
            <w:tcMar>
              <w:top w:w="80" w:type="dxa"/>
              <w:start w:w="80" w:type="dxa"/>
              <w:bottom w:w="80" w:type="dxa"/>
              <w:end w:w="80" w:type="dxa"/>
            </w:tcMar>
            <w:shd w:fill="F2F4F7"/>
          </w:tcPr>
          <w:p>
            <w:r/>
            <w:r>
              <w:rPr>
                <w:rFonts w:ascii="Arial" w:hAnsi="Arial"/>
                <w:b w:val="0"/>
                <w:color w:val="1F2937"/>
                <w:sz w:val="16"/>
              </w:rPr>
              <w:t>Canonical JSON, HMAC-SHA-256, key ID, event ID, timestamp, replay and duplicate controls.</w:t>
            </w:r>
          </w:p>
        </w:tc>
      </w:tr>
      <w:tr>
        <w:trPr>
          <w:cantSplit/>
        </w:trPr>
        <w:tc>
          <w:tcPr>
            <w:tcW w:type="dxa" w:w="2304"/>
            <w:vAlign w:val="center"/>
            <w:tcMar>
              <w:top w:w="80" w:type="dxa"/>
              <w:start w:w="80" w:type="dxa"/>
              <w:bottom w:w="80" w:type="dxa"/>
              <w:end w:w="80" w:type="dxa"/>
            </w:tcMar>
          </w:tcPr>
          <w:p>
            <w:r/>
            <w:r>
              <w:rPr>
                <w:rFonts w:ascii="Arial" w:hAnsi="Arial"/>
                <w:b w:val="0"/>
                <w:color w:val="1F2937"/>
                <w:sz w:val="16"/>
              </w:rPr>
              <w:t>Scope</w:t>
            </w:r>
          </w:p>
        </w:tc>
        <w:tc>
          <w:tcPr>
            <w:tcW w:type="dxa" w:w="7343"/>
            <w:vAlign w:val="center"/>
            <w:tcMar>
              <w:top w:w="80" w:type="dxa"/>
              <w:start w:w="80" w:type="dxa"/>
              <w:bottom w:w="80" w:type="dxa"/>
              <w:end w:w="80" w:type="dxa"/>
            </w:tcMar>
          </w:tcPr>
          <w:p>
            <w:r/>
            <w:r>
              <w:rPr>
                <w:rFonts w:ascii="Arial" w:hAnsi="Arial"/>
                <w:b w:val="0"/>
                <w:color w:val="1F2937"/>
                <w:sz w:val="16"/>
              </w:rPr>
              <w:t>Tenant and property mapping; exact event allow-list.</w:t>
            </w:r>
          </w:p>
        </w:tc>
      </w:tr>
      <w:tr>
        <w:trPr>
          <w:cantSplit/>
        </w:trPr>
        <w:tc>
          <w:tcPr>
            <w:tcW w:type="dxa" w:w="2304"/>
            <w:vAlign w:val="center"/>
            <w:tcMar>
              <w:top w:w="80" w:type="dxa"/>
              <w:start w:w="80" w:type="dxa"/>
              <w:bottom w:w="80" w:type="dxa"/>
              <w:end w:w="80" w:type="dxa"/>
            </w:tcMar>
            <w:shd w:fill="F2F4F7"/>
          </w:tcPr>
          <w:p>
            <w:r/>
            <w:r>
              <w:rPr>
                <w:rFonts w:ascii="Arial" w:hAnsi="Arial"/>
                <w:b w:val="0"/>
                <w:color w:val="1F2937"/>
                <w:sz w:val="16"/>
              </w:rPr>
              <w:t>Prohibited data</w:t>
            </w:r>
          </w:p>
        </w:tc>
        <w:tc>
          <w:tcPr>
            <w:tcW w:type="dxa" w:w="7343"/>
            <w:vAlign w:val="center"/>
            <w:tcMar>
              <w:top w:w="80" w:type="dxa"/>
              <w:start w:w="80" w:type="dxa"/>
              <w:bottom w:w="80" w:type="dxa"/>
              <w:end w:w="80" w:type="dxa"/>
            </w:tcMar>
            <w:shd w:fill="F2F4F7"/>
          </w:tcPr>
          <w:p>
            <w:r/>
            <w:r>
              <w:rPr>
                <w:rFonts w:ascii="Arial" w:hAnsi="Arial"/>
                <w:b w:val="0"/>
                <w:color w:val="1F2937"/>
                <w:sz w:val="16"/>
              </w:rPr>
              <w:t>Passwords, tokens, private keys, card data, raw biometrics, session cookies, OTPs and recovery codes.</w:t>
            </w:r>
          </w:p>
        </w:tc>
      </w:tr>
      <w:tr>
        <w:trPr>
          <w:cantSplit/>
        </w:trPr>
        <w:tc>
          <w:tcPr>
            <w:tcW w:type="dxa" w:w="2304"/>
            <w:vAlign w:val="center"/>
            <w:tcMar>
              <w:top w:w="80" w:type="dxa"/>
              <w:start w:w="80" w:type="dxa"/>
              <w:bottom w:w="80" w:type="dxa"/>
              <w:end w:w="80" w:type="dxa"/>
            </w:tcMar>
          </w:tcPr>
          <w:p>
            <w:r/>
            <w:r>
              <w:rPr>
                <w:rFonts w:ascii="Arial" w:hAnsi="Arial"/>
                <w:b w:val="0"/>
                <w:color w:val="1F2937"/>
                <w:sz w:val="16"/>
              </w:rPr>
              <w:t>Authority</w:t>
            </w:r>
          </w:p>
        </w:tc>
        <w:tc>
          <w:tcPr>
            <w:tcW w:type="dxa" w:w="7343"/>
            <w:vAlign w:val="center"/>
            <w:tcMar>
              <w:top w:w="80" w:type="dxa"/>
              <w:start w:w="80" w:type="dxa"/>
              <w:bottom w:w="80" w:type="dxa"/>
              <w:end w:w="80" w:type="dxa"/>
            </w:tcMar>
          </w:tcPr>
          <w:p>
            <w:r/>
            <w:r>
              <w:rPr>
                <w:rFonts w:ascii="Arial" w:hAnsi="Arial"/>
                <w:b w:val="0"/>
                <w:color w:val="1F2937"/>
                <w:sz w:val="16"/>
              </w:rPr>
              <w:t>Sentinel responses are non-authoritative for hotel operations.</w:t>
            </w:r>
          </w:p>
        </w:tc>
      </w:tr>
      <w:tr>
        <w:trPr>
          <w:cantSplit/>
        </w:trPr>
        <w:tc>
          <w:tcPr>
            <w:tcW w:type="dxa" w:w="2304"/>
            <w:vAlign w:val="center"/>
            <w:tcMar>
              <w:top w:w="80" w:type="dxa"/>
              <w:start w:w="80" w:type="dxa"/>
              <w:bottom w:w="80" w:type="dxa"/>
              <w:end w:w="80" w:type="dxa"/>
            </w:tcMar>
            <w:shd w:fill="F2F4F7"/>
          </w:tcPr>
          <w:p>
            <w:r/>
            <w:r>
              <w:rPr>
                <w:rFonts w:ascii="Arial" w:hAnsi="Arial"/>
                <w:b w:val="0"/>
                <w:color w:val="1F2937"/>
                <w:sz w:val="16"/>
              </w:rPr>
              <w:t>Local devices</w:t>
            </w:r>
          </w:p>
        </w:tc>
        <w:tc>
          <w:tcPr>
            <w:tcW w:type="dxa" w:w="7343"/>
            <w:vAlign w:val="center"/>
            <w:tcMar>
              <w:top w:w="80" w:type="dxa"/>
              <w:start w:w="80" w:type="dxa"/>
              <w:bottom w:w="80" w:type="dxa"/>
              <w:end w:w="80" w:type="dxa"/>
            </w:tcMar>
            <w:shd w:fill="F2F4F7"/>
          </w:tcPr>
          <w:p>
            <w:r/>
            <w:r>
              <w:rPr>
                <w:rFonts w:ascii="Arial" w:hAnsi="Arial"/>
                <w:b w:val="0"/>
                <w:color w:val="1F2937"/>
                <w:sz w:val="16"/>
              </w:rPr>
              <w:t>ZKTeco, CCTV, smart locks and private network devices remain behind a hotel-local outbound bridge.</w:t>
            </w:r>
          </w:p>
        </w:tc>
      </w:tr>
      <w:tr>
        <w:trPr>
          <w:cantSplit/>
        </w:trPr>
        <w:tc>
          <w:tcPr>
            <w:tcW w:type="dxa" w:w="2304"/>
            <w:vAlign w:val="center"/>
            <w:tcMar>
              <w:top w:w="80" w:type="dxa"/>
              <w:start w:w="80" w:type="dxa"/>
              <w:bottom w:w="80" w:type="dxa"/>
              <w:end w:w="80" w:type="dxa"/>
            </w:tcMar>
          </w:tcPr>
          <w:p>
            <w:r/>
            <w:r>
              <w:rPr>
                <w:rFonts w:ascii="Arial" w:hAnsi="Arial"/>
                <w:b w:val="0"/>
                <w:color w:val="1F2937"/>
                <w:sz w:val="16"/>
              </w:rPr>
              <w:t>Commissioning</w:t>
            </w:r>
          </w:p>
        </w:tc>
        <w:tc>
          <w:tcPr>
            <w:tcW w:type="dxa" w:w="7343"/>
            <w:vAlign w:val="center"/>
            <w:tcMar>
              <w:top w:w="80" w:type="dxa"/>
              <w:start w:w="80" w:type="dxa"/>
              <w:bottom w:w="80" w:type="dxa"/>
              <w:end w:w="80" w:type="dxa"/>
            </w:tcMar>
          </w:tcPr>
          <w:p>
            <w:r/>
            <w:r>
              <w:rPr>
                <w:rFonts w:ascii="Arial" w:hAnsi="Arial"/>
                <w:b w:val="0"/>
                <w:color w:val="1F2937"/>
                <w:sz w:val="16"/>
              </w:rPr>
              <w:t>Backup/restore, migration, privacy/security review, signature/replay/idempotency, monitoring, rollback and signed hotel UAT.</w:t>
            </w:r>
          </w:p>
        </w:tc>
      </w:tr>
    </w:tbl>
    <w:p>
      <w:pPr>
        <w:pStyle w:val="Heading2"/>
      </w:pPr>
      <w:r>
        <w:t>38.9 Digital Ecosystem and domain integration</w:t>
      </w:r>
    </w:p>
    <w:tbl>
      <w:tblPr>
        <w:tblStyle w:val="TableGrid"/>
        <w:tblW w:type="auto" w:w="0"/>
        <w:jc w:val="center"/>
        <w:tblLook w:firstColumn="1" w:firstRow="1" w:lastColumn="0" w:lastRow="0" w:noHBand="0" w:noVBand="1" w:val="04A0"/>
      </w:tblPr>
      <w:tblGrid>
        <w:gridCol w:w="4320"/>
        <w:gridCol w:w="4320"/>
      </w:tblGrid>
      <w:tr>
        <w:trPr>
          <w:tblHeader w:val="true"/>
          <w:cantSplit/>
        </w:trPr>
        <w:tc>
          <w:tcPr>
            <w:tcW w:type="dxa" w:w="2592"/>
            <w:vAlign w:val="center"/>
            <w:shd w:fill="12233F"/>
            <w:tcMar>
              <w:top w:w="80" w:type="dxa"/>
              <w:start w:w="80" w:type="dxa"/>
              <w:bottom w:w="80" w:type="dxa"/>
              <w:end w:w="80" w:type="dxa"/>
            </w:tcMar>
          </w:tcPr>
          <w:p>
            <w:r/>
            <w:r>
              <w:rPr>
                <w:rFonts w:ascii="Arial" w:hAnsi="Arial"/>
                <w:b/>
                <w:color w:val="FFFFFF"/>
                <w:sz w:val="16"/>
              </w:rPr>
              <w:t>Domain/surface</w:t>
            </w:r>
          </w:p>
        </w:tc>
        <w:tc>
          <w:tcPr>
            <w:tcW w:type="dxa" w:w="7056"/>
            <w:vAlign w:val="center"/>
            <w:shd w:fill="12233F"/>
            <w:tcMar>
              <w:top w:w="80" w:type="dxa"/>
              <w:start w:w="80" w:type="dxa"/>
              <w:bottom w:w="80" w:type="dxa"/>
              <w:end w:w="80" w:type="dxa"/>
            </w:tcMar>
          </w:tcPr>
          <w:p>
            <w:r/>
            <w:r>
              <w:rPr>
                <w:rFonts w:ascii="Arial" w:hAnsi="Arial"/>
                <w:b/>
                <w:color w:val="FFFFFF"/>
                <w:sz w:val="16"/>
              </w:rPr>
              <w:t>Sentinel AI role</w:t>
            </w:r>
          </w:p>
        </w:tc>
      </w:tr>
      <w:tr>
        <w:trPr>
          <w:cantSplit/>
        </w:trPr>
        <w:tc>
          <w:tcPr>
            <w:tcW w:type="dxa" w:w="2592"/>
            <w:vAlign w:val="center"/>
            <w:tcMar>
              <w:top w:w="80" w:type="dxa"/>
              <w:start w:w="80" w:type="dxa"/>
              <w:bottom w:w="80" w:type="dxa"/>
              <w:end w:w="80" w:type="dxa"/>
            </w:tcMar>
          </w:tcPr>
          <w:p>
            <w:r/>
            <w:r>
              <w:rPr>
                <w:rFonts w:ascii="Arial" w:hAnsi="Arial"/>
                <w:b w:val="0"/>
                <w:color w:val="1F2937"/>
                <w:sz w:val="16"/>
              </w:rPr>
              <w:t>rihuum.com</w:t>
            </w:r>
          </w:p>
        </w:tc>
        <w:tc>
          <w:tcPr>
            <w:tcW w:type="dxa" w:w="7056"/>
            <w:vAlign w:val="center"/>
            <w:tcMar>
              <w:top w:w="80" w:type="dxa"/>
              <w:start w:w="80" w:type="dxa"/>
              <w:bottom w:w="80" w:type="dxa"/>
              <w:end w:w="80" w:type="dxa"/>
            </w:tcMar>
          </w:tcPr>
          <w:p>
            <w:r/>
            <w:r>
              <w:rPr>
                <w:rFonts w:ascii="Arial" w:hAnsi="Arial"/>
                <w:b w:val="0"/>
                <w:color w:val="1F2937"/>
                <w:sz w:val="16"/>
              </w:rPr>
              <w:t>Corporate trust, governance, partnerships, investor and general sales narrative.</w:t>
            </w:r>
          </w:p>
        </w:tc>
      </w:tr>
      <w:tr>
        <w:trPr>
          <w:cantSplit/>
        </w:trPr>
        <w:tc>
          <w:tcPr>
            <w:tcW w:type="dxa" w:w="2592"/>
            <w:vAlign w:val="center"/>
            <w:tcMar>
              <w:top w:w="80" w:type="dxa"/>
              <w:start w:w="80" w:type="dxa"/>
              <w:bottom w:w="80" w:type="dxa"/>
              <w:end w:w="80" w:type="dxa"/>
            </w:tcMar>
            <w:shd w:fill="F2F4F7"/>
          </w:tcPr>
          <w:p>
            <w:r/>
            <w:r>
              <w:rPr>
                <w:rFonts w:ascii="Arial" w:hAnsi="Arial"/>
                <w:b w:val="0"/>
                <w:color w:val="1F2937"/>
                <w:sz w:val="16"/>
              </w:rPr>
              <w:t>rihuum.tech</w:t>
            </w:r>
          </w:p>
        </w:tc>
        <w:tc>
          <w:tcPr>
            <w:tcW w:type="dxa" w:w="7056"/>
            <w:vAlign w:val="center"/>
            <w:tcMar>
              <w:top w:w="80" w:type="dxa"/>
              <w:start w:w="80" w:type="dxa"/>
              <w:bottom w:w="80" w:type="dxa"/>
              <w:end w:w="80" w:type="dxa"/>
            </w:tcMar>
            <w:shd w:fill="F2F4F7"/>
          </w:tcPr>
          <w:p>
            <w:r/>
            <w:r>
              <w:rPr>
                <w:rFonts w:ascii="Arial" w:hAnsi="Arial"/>
                <w:b w:val="0"/>
                <w:color w:val="1F2937"/>
                <w:sz w:val="16"/>
              </w:rPr>
              <w:t>Cybersecurity product catalogue, demos, Academy, secure onboarding and client workspace entry.</w:t>
            </w:r>
          </w:p>
        </w:tc>
      </w:tr>
      <w:tr>
        <w:trPr>
          <w:cantSplit/>
        </w:trPr>
        <w:tc>
          <w:tcPr>
            <w:tcW w:type="dxa" w:w="2592"/>
            <w:vAlign w:val="center"/>
            <w:tcMar>
              <w:top w:w="80" w:type="dxa"/>
              <w:start w:w="80" w:type="dxa"/>
              <w:bottom w:w="80" w:type="dxa"/>
              <w:end w:w="80" w:type="dxa"/>
            </w:tcMar>
          </w:tcPr>
          <w:p>
            <w:r/>
            <w:r>
              <w:rPr>
                <w:rFonts w:ascii="Arial" w:hAnsi="Arial"/>
                <w:b w:val="0"/>
                <w:color w:val="1F2937"/>
                <w:sz w:val="16"/>
              </w:rPr>
              <w:t>rihuum.net</w:t>
            </w:r>
          </w:p>
        </w:tc>
        <w:tc>
          <w:tcPr>
            <w:tcW w:type="dxa" w:w="7056"/>
            <w:vAlign w:val="center"/>
            <w:tcMar>
              <w:top w:w="80" w:type="dxa"/>
              <w:start w:w="80" w:type="dxa"/>
              <w:bottom w:w="80" w:type="dxa"/>
              <w:end w:w="80" w:type="dxa"/>
            </w:tcMar>
          </w:tcPr>
          <w:p>
            <w:r/>
            <w:r>
              <w:rPr>
                <w:rFonts w:ascii="Arial" w:hAnsi="Arial"/>
                <w:b w:val="0"/>
                <w:color w:val="1F2937"/>
                <w:sz w:val="16"/>
              </w:rPr>
              <w:t>Security status, infrastructure, managed operations, collector/edge documentation and service continuity.</w:t>
            </w:r>
          </w:p>
        </w:tc>
      </w:tr>
      <w:tr>
        <w:trPr>
          <w:cantSplit/>
        </w:trPr>
        <w:tc>
          <w:tcPr>
            <w:tcW w:type="dxa" w:w="2592"/>
            <w:vAlign w:val="center"/>
            <w:tcMar>
              <w:top w:w="80" w:type="dxa"/>
              <w:start w:w="80" w:type="dxa"/>
              <w:bottom w:w="80" w:type="dxa"/>
              <w:end w:w="80" w:type="dxa"/>
            </w:tcMar>
            <w:shd w:fill="F2F4F7"/>
          </w:tcPr>
          <w:p>
            <w:r/>
            <w:r>
              <w:rPr>
                <w:rFonts w:ascii="Arial" w:hAnsi="Arial"/>
                <w:b w:val="0"/>
                <w:color w:val="1F2937"/>
                <w:sz w:val="16"/>
              </w:rPr>
              <w:t>platform.rihuum.tech</w:t>
            </w:r>
          </w:p>
        </w:tc>
        <w:tc>
          <w:tcPr>
            <w:tcW w:type="dxa" w:w="7056"/>
            <w:vAlign w:val="center"/>
            <w:tcMar>
              <w:top w:w="80" w:type="dxa"/>
              <w:start w:w="80" w:type="dxa"/>
              <w:bottom w:w="80" w:type="dxa"/>
              <w:end w:w="80" w:type="dxa"/>
            </w:tcMar>
            <w:shd w:fill="F2F4F7"/>
          </w:tcPr>
          <w:p>
            <w:r>
              <w:rPr>
                <w:rFonts w:ascii="Arial" w:hAnsi="Arial"/>
                <w:b w:val="0"/>
                <w:color w:val="1F2937"/>
                <w:sz w:val="16"/>
              </w:rPr>
              <w:t>Authenticated RME 0.3 product and configuration control plane after explicit activation approval.</w:t>
            </w:r>
          </w:p>
        </w:tc>
      </w:tr>
      <w:tr>
        <w:trPr>
          <w:cantSplit/>
        </w:trPr>
        <w:tc>
          <w:tcPr>
            <w:tcW w:type="dxa" w:w="2592"/>
            <w:vAlign w:val="center"/>
            <w:tcMar>
              <w:top w:w="80" w:type="dxa"/>
              <w:start w:w="80" w:type="dxa"/>
              <w:bottom w:w="80" w:type="dxa"/>
              <w:end w:w="80" w:type="dxa"/>
            </w:tcMar>
          </w:tcPr>
          <w:p>
            <w:r/>
            <w:r>
              <w:rPr>
                <w:rFonts w:ascii="Arial" w:hAnsi="Arial"/>
                <w:b w:val="0"/>
                <w:color w:val="1F2937"/>
                <w:sz w:val="16"/>
              </w:rPr>
              <w:t>sentinel.rihuum.tech</w:t>
            </w:r>
          </w:p>
        </w:tc>
        <w:tc>
          <w:tcPr>
            <w:tcW w:type="dxa" w:w="7056"/>
            <w:vAlign w:val="center"/>
            <w:tcMar>
              <w:top w:w="80" w:type="dxa"/>
              <w:start w:w="80" w:type="dxa"/>
              <w:bottom w:w="80" w:type="dxa"/>
              <w:end w:w="80" w:type="dxa"/>
            </w:tcMar>
          </w:tcPr>
          <w:p>
            <w:r/>
            <w:r>
              <w:rPr>
                <w:rFonts w:ascii="Arial" w:hAnsi="Arial"/>
                <w:b w:val="0"/>
                <w:color w:val="1F2937"/>
                <w:sz w:val="16"/>
              </w:rPr>
              <w:t>Recommended dedicated Sentinel workspace when staging and operations are commissioned.</w:t>
            </w:r>
          </w:p>
        </w:tc>
      </w:tr>
      <w:tr>
        <w:trPr>
          <w:cantSplit/>
        </w:trPr>
        <w:tc>
          <w:tcPr>
            <w:tcW w:type="dxa" w:w="2592"/>
            <w:vAlign w:val="center"/>
            <w:tcMar>
              <w:top w:w="80" w:type="dxa"/>
              <w:start w:w="80" w:type="dxa"/>
              <w:bottom w:w="80" w:type="dxa"/>
              <w:end w:w="80" w:type="dxa"/>
            </w:tcMar>
            <w:shd w:fill="F2F4F7"/>
          </w:tcPr>
          <w:p>
            <w:r/>
            <w:r>
              <w:rPr>
                <w:rFonts w:ascii="Arial" w:hAnsi="Arial"/>
                <w:b w:val="0"/>
                <w:color w:val="1F2937"/>
                <w:sz w:val="16"/>
              </w:rPr>
              <w:t>academy.rihuum.tech</w:t>
            </w:r>
          </w:p>
        </w:tc>
        <w:tc>
          <w:tcPr>
            <w:tcW w:type="dxa" w:w="7056"/>
            <w:vAlign w:val="center"/>
            <w:tcMar>
              <w:top w:w="80" w:type="dxa"/>
              <w:start w:w="80" w:type="dxa"/>
              <w:bottom w:w="80" w:type="dxa"/>
              <w:end w:w="80" w:type="dxa"/>
            </w:tcMar>
            <w:shd w:fill="F2F4F7"/>
          </w:tcPr>
          <w:p>
            <w:r/>
            <w:r>
              <w:rPr>
                <w:rFonts w:ascii="Arial" w:hAnsi="Arial"/>
                <w:b w:val="0"/>
                <w:color w:val="1F2937"/>
                <w:sz w:val="16"/>
              </w:rPr>
              <w:t>Rihuum Technology and Digital Hub courses, cyber range and certification preparation.</w:t>
            </w:r>
          </w:p>
        </w:tc>
      </w:tr>
    </w:tbl>
    <w:p>
      <w:pPr>
        <w:pStyle w:val="Heading2"/>
      </w:pPr>
      <w:r>
        <w:t>38.10 Hosting and scale path</w:t>
      </w:r>
    </w:p>
    <w:tbl>
      <w:tblPr>
        <w:tblStyle w:val="TableGrid"/>
        <w:tblW w:type="auto" w:w="0"/>
        <w:jc w:val="center"/>
        <w:tblLook w:firstColumn="1" w:firstRow="1" w:lastColumn="0" w:lastRow="0" w:noHBand="0" w:noVBand="1" w:val="04A0"/>
      </w:tblPr>
      <w:tblGrid>
        <w:gridCol w:w="2880"/>
        <w:gridCol w:w="2880"/>
        <w:gridCol w:w="2880"/>
      </w:tblGrid>
      <w:tr>
        <w:trPr>
          <w:tblHeader w:val="true"/>
          <w:cantSplit/>
        </w:trPr>
        <w:tc>
          <w:tcPr>
            <w:tcW w:type="dxa" w:w="1440"/>
            <w:vAlign w:val="center"/>
            <w:shd w:fill="12233F"/>
            <w:tcMar>
              <w:top w:w="80" w:type="dxa"/>
              <w:start w:w="80" w:type="dxa"/>
              <w:bottom w:w="80" w:type="dxa"/>
              <w:end w:w="80" w:type="dxa"/>
            </w:tcMar>
          </w:tcPr>
          <w:p>
            <w:r/>
            <w:r>
              <w:rPr>
                <w:rFonts w:ascii="Arial" w:hAnsi="Arial"/>
                <w:b/>
                <w:color w:val="FFFFFF"/>
                <w:sz w:val="15"/>
              </w:rPr>
              <w:t>Stage</w:t>
            </w:r>
          </w:p>
        </w:tc>
        <w:tc>
          <w:tcPr>
            <w:tcW w:type="dxa" w:w="4320"/>
            <w:vAlign w:val="center"/>
            <w:shd w:fill="12233F"/>
            <w:tcMar>
              <w:top w:w="80" w:type="dxa"/>
              <w:start w:w="80" w:type="dxa"/>
              <w:bottom w:w="80" w:type="dxa"/>
              <w:end w:w="80" w:type="dxa"/>
            </w:tcMar>
          </w:tcPr>
          <w:p>
            <w:r/>
            <w:r>
              <w:rPr>
                <w:rFonts w:ascii="Arial" w:hAnsi="Arial"/>
                <w:b/>
                <w:color w:val="FFFFFF"/>
                <w:sz w:val="15"/>
              </w:rPr>
              <w:t>Placement</w:t>
            </w:r>
          </w:p>
        </w:tc>
        <w:tc>
          <w:tcPr>
            <w:tcW w:type="dxa" w:w="3888"/>
            <w:vAlign w:val="center"/>
            <w:shd w:fill="12233F"/>
            <w:tcMar>
              <w:top w:w="80" w:type="dxa"/>
              <w:start w:w="80" w:type="dxa"/>
              <w:bottom w:w="80" w:type="dxa"/>
              <w:end w:w="80" w:type="dxa"/>
            </w:tcMar>
          </w:tcPr>
          <w:p>
            <w:r/>
            <w:r>
              <w:rPr>
                <w:rFonts w:ascii="Arial" w:hAnsi="Arial"/>
                <w:b/>
                <w:color w:val="FFFFFF"/>
                <w:sz w:val="15"/>
              </w:rPr>
              <w:t>Exit or migration evidence</w:t>
            </w:r>
          </w:p>
        </w:tc>
      </w:tr>
      <w:tr>
        <w:trPr>
          <w:cantSplit/>
        </w:trPr>
        <w:tc>
          <w:tcPr>
            <w:tcW w:type="dxa" w:w="1440"/>
            <w:vAlign w:val="center"/>
            <w:tcMar>
              <w:top w:w="80" w:type="dxa"/>
              <w:start w:w="80" w:type="dxa"/>
              <w:bottom w:w="80" w:type="dxa"/>
              <w:end w:w="80" w:type="dxa"/>
            </w:tcMar>
          </w:tcPr>
          <w:p>
            <w:r/>
            <w:r>
              <w:rPr>
                <w:rFonts w:ascii="Arial" w:hAnsi="Arial"/>
                <w:b w:val="0"/>
                <w:color w:val="1F2937"/>
                <w:sz w:val="15"/>
              </w:rPr>
              <w:t>Shared hosting</w:t>
            </w:r>
          </w:p>
        </w:tc>
        <w:tc>
          <w:tcPr>
            <w:tcW w:type="dxa" w:w="4320"/>
            <w:vAlign w:val="center"/>
            <w:tcMar>
              <w:top w:w="80" w:type="dxa"/>
              <w:start w:w="80" w:type="dxa"/>
              <w:bottom w:w="80" w:type="dxa"/>
              <w:end w:w="80" w:type="dxa"/>
            </w:tcMar>
          </w:tcPr>
          <w:p>
            <w:r/>
            <w:r>
              <w:rPr>
                <w:rFonts w:ascii="Arial" w:hAnsi="Arial"/>
                <w:b w:val="0"/>
                <w:color w:val="1F2937"/>
                <w:sz w:val="15"/>
              </w:rPr>
              <w:t>Portal, licensing, scope, safe public checks, findings, incidents, GRC, reports, signed endpoints.</w:t>
            </w:r>
          </w:p>
        </w:tc>
        <w:tc>
          <w:tcPr>
            <w:tcW w:type="dxa" w:w="3888"/>
            <w:vAlign w:val="center"/>
            <w:tcMar>
              <w:top w:w="80" w:type="dxa"/>
              <w:start w:w="80" w:type="dxa"/>
              <w:bottom w:w="80" w:type="dxa"/>
              <w:end w:w="80" w:type="dxa"/>
            </w:tcMar>
          </w:tcPr>
          <w:p>
            <w:r/>
            <w:r>
              <w:rPr>
                <w:rFonts w:ascii="Arial" w:hAnsi="Arial"/>
                <w:b w:val="0"/>
                <w:color w:val="1F2937"/>
                <w:sz w:val="15"/>
              </w:rPr>
              <w:t>Clean install, backup/restore, security/performance tests and low-concurrency pilot.</w:t>
            </w:r>
          </w:p>
        </w:tc>
      </w:tr>
      <w:tr>
        <w:trPr>
          <w:cantSplit/>
        </w:trPr>
        <w:tc>
          <w:tcPr>
            <w:tcW w:type="dxa" w:w="1440"/>
            <w:vAlign w:val="center"/>
            <w:tcMar>
              <w:top w:w="80" w:type="dxa"/>
              <w:start w:w="80" w:type="dxa"/>
              <w:bottom w:w="80" w:type="dxa"/>
              <w:end w:w="80" w:type="dxa"/>
            </w:tcMar>
            <w:shd w:fill="F2F4F7"/>
          </w:tcPr>
          <w:p>
            <w:r/>
            <w:r>
              <w:rPr>
                <w:rFonts w:ascii="Arial" w:hAnsi="Arial"/>
                <w:b w:val="0"/>
                <w:color w:val="1F2937"/>
                <w:sz w:val="15"/>
              </w:rPr>
              <w:t>VPS</w:t>
            </w:r>
          </w:p>
        </w:tc>
        <w:tc>
          <w:tcPr>
            <w:tcW w:type="dxa" w:w="4320"/>
            <w:vAlign w:val="center"/>
            <w:tcMar>
              <w:top w:w="80" w:type="dxa"/>
              <w:start w:w="80" w:type="dxa"/>
              <w:bottom w:w="80" w:type="dxa"/>
              <w:end w:w="80" w:type="dxa"/>
            </w:tcMar>
            <w:shd w:fill="F2F4F7"/>
          </w:tcPr>
          <w:p>
            <w:r/>
            <w:r>
              <w:rPr>
                <w:rFonts w:ascii="Arial" w:hAnsi="Arial"/>
                <w:b w:val="0"/>
                <w:color w:val="1F2937"/>
                <w:sz w:val="15"/>
              </w:rPr>
              <w:t>Workers, queues, cache, managed database, object storage, central observability and blue/green release.</w:t>
            </w:r>
          </w:p>
        </w:tc>
        <w:tc>
          <w:tcPr>
            <w:tcW w:type="dxa" w:w="3888"/>
            <w:vAlign w:val="center"/>
            <w:tcMar>
              <w:top w:w="80" w:type="dxa"/>
              <w:start w:w="80" w:type="dxa"/>
              <w:bottom w:w="80" w:type="dxa"/>
              <w:end w:w="80" w:type="dxa"/>
            </w:tcMar>
            <w:shd w:fill="F2F4F7"/>
          </w:tcPr>
          <w:p>
            <w:r/>
            <w:r>
              <w:rPr>
                <w:rFonts w:ascii="Arial" w:hAnsi="Arial"/>
                <w:b w:val="0"/>
                <w:color w:val="1F2937"/>
                <w:sz w:val="15"/>
              </w:rPr>
              <w:t>Queue/concurrency/integration volume or service-control trigger.</w:t>
            </w:r>
          </w:p>
        </w:tc>
      </w:tr>
      <w:tr>
        <w:trPr>
          <w:cantSplit/>
        </w:trPr>
        <w:tc>
          <w:tcPr>
            <w:tcW w:type="dxa" w:w="1440"/>
            <w:vAlign w:val="center"/>
            <w:tcMar>
              <w:top w:w="80" w:type="dxa"/>
              <w:start w:w="80" w:type="dxa"/>
              <w:bottom w:w="80" w:type="dxa"/>
              <w:end w:w="80" w:type="dxa"/>
            </w:tcMar>
          </w:tcPr>
          <w:p>
            <w:r/>
            <w:r>
              <w:rPr>
                <w:rFonts w:ascii="Arial" w:hAnsi="Arial"/>
                <w:b w:val="0"/>
                <w:color w:val="1F2937"/>
                <w:sz w:val="15"/>
              </w:rPr>
              <w:t>Hybrid</w:t>
            </w:r>
          </w:p>
        </w:tc>
        <w:tc>
          <w:tcPr>
            <w:tcW w:type="dxa" w:w="4320"/>
            <w:vAlign w:val="center"/>
            <w:tcMar>
              <w:top w:w="80" w:type="dxa"/>
              <w:start w:w="80" w:type="dxa"/>
              <w:bottom w:w="80" w:type="dxa"/>
              <w:end w:w="80" w:type="dxa"/>
            </w:tcMar>
          </w:tcPr>
          <w:p>
            <w:r/>
            <w:r>
              <w:rPr>
                <w:rFonts w:ascii="Arial" w:hAnsi="Arial"/>
                <w:b w:val="0"/>
                <w:color w:val="1F2937"/>
                <w:sz w:val="15"/>
              </w:rPr>
              <w:t>Cloud control plane plus customer-local collectors and hotel bridges.</w:t>
            </w:r>
          </w:p>
        </w:tc>
        <w:tc>
          <w:tcPr>
            <w:tcW w:type="dxa" w:w="3888"/>
            <w:vAlign w:val="center"/>
            <w:tcMar>
              <w:top w:w="80" w:type="dxa"/>
              <w:start w:w="80" w:type="dxa"/>
              <w:bottom w:w="80" w:type="dxa"/>
              <w:end w:w="80" w:type="dxa"/>
            </w:tcMar>
          </w:tcPr>
          <w:p>
            <w:r/>
            <w:r>
              <w:rPr>
                <w:rFonts w:ascii="Arial" w:hAnsi="Arial"/>
                <w:b w:val="0"/>
                <w:color w:val="1F2937"/>
                <w:sz w:val="15"/>
              </w:rPr>
              <w:t>Private-device integration, resilience, offline queue and data-local need.</w:t>
            </w:r>
          </w:p>
        </w:tc>
      </w:tr>
      <w:tr>
        <w:trPr>
          <w:cantSplit/>
        </w:trPr>
        <w:tc>
          <w:tcPr>
            <w:tcW w:type="dxa" w:w="1440"/>
            <w:vAlign w:val="center"/>
            <w:tcMar>
              <w:top w:w="80" w:type="dxa"/>
              <w:start w:w="80" w:type="dxa"/>
              <w:bottom w:w="80" w:type="dxa"/>
              <w:end w:w="80" w:type="dxa"/>
            </w:tcMar>
            <w:shd w:fill="F2F4F7"/>
          </w:tcPr>
          <w:p>
            <w:r/>
            <w:r>
              <w:rPr>
                <w:rFonts w:ascii="Arial" w:hAnsi="Arial"/>
                <w:b w:val="0"/>
                <w:color w:val="1F2937"/>
                <w:sz w:val="15"/>
              </w:rPr>
              <w:t>Cloud/SaaS</w:t>
            </w:r>
          </w:p>
        </w:tc>
        <w:tc>
          <w:tcPr>
            <w:tcW w:type="dxa" w:w="4320"/>
            <w:vAlign w:val="center"/>
            <w:tcMar>
              <w:top w:w="80" w:type="dxa"/>
              <w:start w:w="80" w:type="dxa"/>
              <w:bottom w:w="80" w:type="dxa"/>
              <w:end w:w="80" w:type="dxa"/>
            </w:tcMar>
            <w:shd w:fill="F2F4F7"/>
          </w:tcPr>
          <w:p>
            <w:r/>
            <w:r>
              <w:rPr>
                <w:rFonts w:ascii="Arial" w:hAnsi="Arial"/>
                <w:b w:val="0"/>
                <w:color w:val="1F2937"/>
                <w:sz w:val="15"/>
              </w:rPr>
              <w:t>Regional multi-tenant services, autoscaling, formal SRE, HA/DR and data-residency controls.</w:t>
            </w:r>
          </w:p>
        </w:tc>
        <w:tc>
          <w:tcPr>
            <w:tcW w:type="dxa" w:w="3888"/>
            <w:vAlign w:val="center"/>
            <w:tcMar>
              <w:top w:w="80" w:type="dxa"/>
              <w:start w:w="80" w:type="dxa"/>
              <w:bottom w:w="80" w:type="dxa"/>
              <w:end w:w="80" w:type="dxa"/>
            </w:tcMar>
            <w:shd w:fill="F2F4F7"/>
          </w:tcPr>
          <w:p>
            <w:r/>
            <w:r>
              <w:rPr>
                <w:rFonts w:ascii="Arial" w:hAnsi="Arial"/>
                <w:b w:val="0"/>
                <w:color w:val="1F2937"/>
                <w:sz w:val="15"/>
              </w:rPr>
              <w:t>Portfolio scale, multi-country operation and defined SLOs.</w:t>
            </w:r>
          </w:p>
        </w:tc>
      </w:tr>
    </w:tbl>
    <w:p>
      <w:pPr>
        <w:pStyle w:val="Heading2"/>
      </w:pPr>
      <w:r>
        <w:t>38.11 Commercial editions and revenue model</w:t>
      </w:r>
    </w:p>
    <w:tbl>
      <w:tblPr>
        <w:tblStyle w:val="TableGrid"/>
        <w:tblW w:type="auto" w:w="0"/>
        <w:jc w:val="center"/>
        <w:tblLook w:firstColumn="1" w:firstRow="1" w:lastColumn="0" w:lastRow="0" w:noHBand="0" w:noVBand="1" w:val="04A0"/>
      </w:tblPr>
      <w:tblGrid>
        <w:gridCol w:w="4320"/>
        <w:gridCol w:w="4320"/>
      </w:tblGrid>
      <w:tr>
        <w:trPr>
          <w:tblHeader w:val="true"/>
          <w:cantSplit/>
        </w:trPr>
        <w:tc>
          <w:tcPr>
            <w:tcW w:type="dxa" w:w="1944"/>
            <w:vAlign w:val="center"/>
            <w:shd w:fill="12233F"/>
            <w:tcMar>
              <w:top w:w="80" w:type="dxa"/>
              <w:start w:w="80" w:type="dxa"/>
              <w:bottom w:w="80" w:type="dxa"/>
              <w:end w:w="80" w:type="dxa"/>
            </w:tcMar>
          </w:tcPr>
          <w:p>
            <w:r/>
            <w:r>
              <w:rPr>
                <w:rFonts w:ascii="Arial" w:hAnsi="Arial"/>
                <w:b/>
                <w:color w:val="FFFFFF"/>
                <w:sz w:val="16"/>
              </w:rPr>
              <w:t>Edition</w:t>
            </w:r>
          </w:p>
        </w:tc>
        <w:tc>
          <w:tcPr>
            <w:tcW w:type="dxa" w:w="7703"/>
            <w:vAlign w:val="center"/>
            <w:shd w:fill="12233F"/>
            <w:tcMar>
              <w:top w:w="80" w:type="dxa"/>
              <w:start w:w="80" w:type="dxa"/>
              <w:bottom w:w="80" w:type="dxa"/>
              <w:end w:w="80" w:type="dxa"/>
            </w:tcMar>
          </w:tcPr>
          <w:p>
            <w:r/>
            <w:r>
              <w:rPr>
                <w:rFonts w:ascii="Arial" w:hAnsi="Arial"/>
                <w:b/>
                <w:color w:val="FFFFFF"/>
                <w:sz w:val="16"/>
              </w:rPr>
              <w:t>Indicative composition</w:t>
            </w:r>
          </w:p>
        </w:tc>
      </w:tr>
      <w:tr>
        <w:trPr>
          <w:cantSplit/>
        </w:trPr>
        <w:tc>
          <w:tcPr>
            <w:tcW w:type="dxa" w:w="1944"/>
            <w:vAlign w:val="center"/>
            <w:tcMar>
              <w:top w:w="80" w:type="dxa"/>
              <w:start w:w="80" w:type="dxa"/>
              <w:bottom w:w="80" w:type="dxa"/>
              <w:end w:w="80" w:type="dxa"/>
            </w:tcMar>
          </w:tcPr>
          <w:p>
            <w:r/>
            <w:r>
              <w:rPr>
                <w:rFonts w:ascii="Arial" w:hAnsi="Arial"/>
                <w:b w:val="0"/>
                <w:color w:val="1F2937"/>
                <w:sz w:val="16"/>
              </w:rPr>
              <w:t>Foundation</w:t>
            </w:r>
          </w:p>
        </w:tc>
        <w:tc>
          <w:tcPr>
            <w:tcW w:type="dxa" w:w="7703"/>
            <w:vAlign w:val="center"/>
            <w:tcMar>
              <w:top w:w="80" w:type="dxa"/>
              <w:start w:w="80" w:type="dxa"/>
              <w:bottom w:w="80" w:type="dxa"/>
              <w:end w:w="80" w:type="dxa"/>
            </w:tcMar>
          </w:tcPr>
          <w:p>
            <w:r/>
            <w:r>
              <w:rPr>
                <w:rFonts w:ascii="Arial" w:hAnsi="Arial"/>
                <w:b w:val="0"/>
                <w:color w:val="1F2937"/>
                <w:sz w:val="16"/>
              </w:rPr>
              <w:t>Sentinel Core, posture, safe web/domain checks, incident/evidence, GRC and reporting.</w:t>
            </w:r>
          </w:p>
        </w:tc>
      </w:tr>
      <w:tr>
        <w:trPr>
          <w:cantSplit/>
        </w:trPr>
        <w:tc>
          <w:tcPr>
            <w:tcW w:type="dxa" w:w="1944"/>
            <w:vAlign w:val="center"/>
            <w:tcMar>
              <w:top w:w="80" w:type="dxa"/>
              <w:start w:w="80" w:type="dxa"/>
              <w:bottom w:w="80" w:type="dxa"/>
              <w:end w:w="80" w:type="dxa"/>
            </w:tcMar>
            <w:shd w:fill="F2F4F7"/>
          </w:tcPr>
          <w:p>
            <w:r/>
            <w:r>
              <w:rPr>
                <w:rFonts w:ascii="Arial" w:hAnsi="Arial"/>
                <w:b w:val="0"/>
                <w:color w:val="1F2937"/>
                <w:sz w:val="16"/>
              </w:rPr>
              <w:t>Professional</w:t>
            </w:r>
          </w:p>
        </w:tc>
        <w:tc>
          <w:tcPr>
            <w:tcW w:type="dxa" w:w="7703"/>
            <w:vAlign w:val="center"/>
            <w:tcMar>
              <w:top w:w="80" w:type="dxa"/>
              <w:start w:w="80" w:type="dxa"/>
              <w:bottom w:w="80" w:type="dxa"/>
              <w:end w:w="80" w:type="dxa"/>
            </w:tcMar>
            <w:shd w:fill="F2F4F7"/>
          </w:tcPr>
          <w:p>
            <w:r/>
            <w:r>
              <w:rPr>
                <w:rFonts w:ascii="Arial" w:hAnsi="Arial"/>
                <w:b w:val="0"/>
                <w:color w:val="1F2937"/>
                <w:sz w:val="16"/>
              </w:rPr>
              <w:t>Foundation plus exposure, email/domain, DevSecOps, phishing awareness, threat intelligence and automation foundations.</w:t>
            </w:r>
          </w:p>
        </w:tc>
      </w:tr>
      <w:tr>
        <w:trPr>
          <w:cantSplit/>
        </w:trPr>
        <w:tc>
          <w:tcPr>
            <w:tcW w:type="dxa" w:w="1944"/>
            <w:vAlign w:val="center"/>
            <w:tcMar>
              <w:top w:w="80" w:type="dxa"/>
              <w:start w:w="80" w:type="dxa"/>
              <w:bottom w:w="80" w:type="dxa"/>
              <w:end w:w="80" w:type="dxa"/>
            </w:tcMar>
          </w:tcPr>
          <w:p>
            <w:r/>
            <w:r>
              <w:rPr>
                <w:rFonts w:ascii="Arial" w:hAnsi="Arial"/>
                <w:b w:val="0"/>
                <w:color w:val="1F2937"/>
                <w:sz w:val="16"/>
              </w:rPr>
              <w:t>Enterprise</w:t>
            </w:r>
          </w:p>
        </w:tc>
        <w:tc>
          <w:tcPr>
            <w:tcW w:type="dxa" w:w="7703"/>
            <w:vAlign w:val="center"/>
            <w:tcMar>
              <w:top w:w="80" w:type="dxa"/>
              <w:start w:w="80" w:type="dxa"/>
              <w:bottom w:w="80" w:type="dxa"/>
              <w:end w:w="80" w:type="dxa"/>
            </w:tcMar>
          </w:tcPr>
          <w:p>
            <w:r/>
            <w:r>
              <w:rPr>
                <w:rFonts w:ascii="Arial" w:hAnsi="Arial"/>
                <w:b w:val="0"/>
                <w:color w:val="1F2937"/>
                <w:sz w:val="16"/>
              </w:rPr>
              <w:t>Professional plus commissioned endpoint/network/cloud/SaaS/identity/data modules, collectors and digital twin.</w:t>
            </w:r>
          </w:p>
        </w:tc>
      </w:tr>
      <w:tr>
        <w:trPr>
          <w:cantSplit/>
        </w:trPr>
        <w:tc>
          <w:tcPr>
            <w:tcW w:type="dxa" w:w="1944"/>
            <w:vAlign w:val="center"/>
            <w:tcMar>
              <w:top w:w="80" w:type="dxa"/>
              <w:start w:w="80" w:type="dxa"/>
              <w:bottom w:w="80" w:type="dxa"/>
              <w:end w:w="80" w:type="dxa"/>
            </w:tcMar>
            <w:shd w:fill="F2F4F7"/>
          </w:tcPr>
          <w:p>
            <w:r/>
            <w:r>
              <w:rPr>
                <w:rFonts w:ascii="Arial" w:hAnsi="Arial"/>
                <w:b w:val="0"/>
                <w:color w:val="1F2937"/>
                <w:sz w:val="16"/>
              </w:rPr>
              <w:t>Hospitality</w:t>
            </w:r>
          </w:p>
        </w:tc>
        <w:tc>
          <w:tcPr>
            <w:tcW w:type="dxa" w:w="7703"/>
            <w:vAlign w:val="center"/>
            <w:tcMar>
              <w:top w:w="80" w:type="dxa"/>
              <w:start w:w="80" w:type="dxa"/>
              <w:bottom w:w="80" w:type="dxa"/>
              <w:end w:w="80" w:type="dxa"/>
            </w:tcMar>
            <w:shd w:fill="F2F4F7"/>
          </w:tcPr>
          <w:p>
            <w:r/>
            <w:r>
              <w:rPr>
                <w:rFonts w:ascii="Arial" w:hAnsi="Arial"/>
                <w:b w:val="0"/>
                <w:color w:val="1F2937"/>
                <w:sz w:val="16"/>
              </w:rPr>
              <w:t>Enterprise profile plus Hospitality Cyber Defence and commissioned RAHIS/property bridge.</w:t>
            </w:r>
          </w:p>
        </w:tc>
      </w:tr>
      <w:tr>
        <w:trPr>
          <w:cantSplit/>
        </w:trPr>
        <w:tc>
          <w:tcPr>
            <w:tcW w:type="dxa" w:w="1944"/>
            <w:vAlign w:val="center"/>
            <w:tcMar>
              <w:top w:w="80" w:type="dxa"/>
              <w:start w:w="80" w:type="dxa"/>
              <w:bottom w:w="80" w:type="dxa"/>
              <w:end w:w="80" w:type="dxa"/>
            </w:tcMar>
          </w:tcPr>
          <w:p>
            <w:r/>
            <w:r>
              <w:rPr>
                <w:rFonts w:ascii="Arial" w:hAnsi="Arial"/>
                <w:b w:val="0"/>
                <w:color w:val="1F2937"/>
                <w:sz w:val="16"/>
              </w:rPr>
              <w:t>MDR</w:t>
            </w:r>
          </w:p>
        </w:tc>
        <w:tc>
          <w:tcPr>
            <w:tcW w:type="dxa" w:w="7703"/>
            <w:vAlign w:val="center"/>
            <w:tcMar>
              <w:top w:w="80" w:type="dxa"/>
              <w:start w:w="80" w:type="dxa"/>
              <w:bottom w:w="80" w:type="dxa"/>
              <w:end w:w="80" w:type="dxa"/>
            </w:tcMar>
          </w:tcPr>
          <w:p>
            <w:r/>
            <w:r>
              <w:rPr>
                <w:rFonts w:ascii="Arial" w:hAnsi="Arial"/>
                <w:b w:val="0"/>
                <w:color w:val="1F2937"/>
                <w:sz w:val="16"/>
              </w:rPr>
              <w:t>Licensed modules plus Rihuum analysts, SLA, escalation, response authority and managed operations.</w:t>
            </w:r>
          </w:p>
        </w:tc>
      </w:tr>
      <w:tr>
        <w:trPr>
          <w:cantSplit/>
        </w:trPr>
        <w:tc>
          <w:tcPr>
            <w:tcW w:type="dxa" w:w="1944"/>
            <w:vAlign w:val="center"/>
            <w:tcMar>
              <w:top w:w="80" w:type="dxa"/>
              <w:start w:w="80" w:type="dxa"/>
              <w:bottom w:w="80" w:type="dxa"/>
              <w:end w:w="80" w:type="dxa"/>
            </w:tcMar>
            <w:shd w:fill="F2F4F7"/>
          </w:tcPr>
          <w:p>
            <w:r/>
            <w:r>
              <w:rPr>
                <w:rFonts w:ascii="Arial" w:hAnsi="Arial"/>
                <w:b w:val="0"/>
                <w:color w:val="1F2937"/>
                <w:sz w:val="16"/>
              </w:rPr>
              <w:t>Academy/Cyber Range</w:t>
            </w:r>
          </w:p>
        </w:tc>
        <w:tc>
          <w:tcPr>
            <w:tcW w:type="dxa" w:w="7703"/>
            <w:vAlign w:val="center"/>
            <w:tcMar>
              <w:top w:w="80" w:type="dxa"/>
              <w:start w:w="80" w:type="dxa"/>
              <w:bottom w:w="80" w:type="dxa"/>
              <w:end w:w="80" w:type="dxa"/>
            </w:tcMar>
            <w:shd w:fill="F2F4F7"/>
          </w:tcPr>
          <w:p>
            <w:r/>
            <w:r>
              <w:rPr>
                <w:rFonts w:ascii="Arial" w:hAnsi="Arial"/>
                <w:b w:val="0"/>
                <w:color w:val="1F2937"/>
                <w:sz w:val="16"/>
              </w:rPr>
              <w:t>Isolated training tenancy, courses, labs, scoring and certificates; no real-world target authority.</w:t>
            </w:r>
          </w:p>
        </w:tc>
      </w:tr>
    </w:tbl>
    <w:p>
      <w:pPr>
        <w:pStyle w:val="Heading2"/>
      </w:pPr>
      <w:r>
        <w:t>38.12 Standards and assurance baseline</w:t>
      </w:r>
    </w:p>
    <w:p>
      <w:r>
        <w:t>The Suite maps evidence and programme outcomes to NIST CSF 2.0, NIST SP 800-61 Rev. 3, NIST zero trust and SSDF guidance, NIST AI RMF/GenAI Profile, NIST post-quantum standards, OWASP ASVS 5.0.0, OWASP AISVS 1.0, MITRE ATT&amp;CK 19.1, MITRE ATLAS, CISA KEV/Secure by Design, CIS Controls 8.1, PCI DSS 4.0.1, ISO/IEC 27001:2022 and the Nigeria Data Protection Act 2023/GAID 2025. Mapping supports implementation and evidence; it does not create certification or legal conclusions.</w:t>
      </w:r>
    </w:p>
    <w:p>
      <w:pPr>
        <w:pStyle w:val="Heading2"/>
      </w:pPr>
      <w:r>
        <w:t>38.13 Release and no-go gates</w:t>
      </w:r>
    </w:p>
    <w:p>
      <w:pPr>
        <w:pStyle w:val="ListBullet"/>
      </w:pPr>
      <w:r>
        <w:t>No Critical or High security defect remains open.</w:t>
      </w:r>
    </w:p>
    <w:p>
      <w:pPr>
        <w:pStyle w:val="ListBullet"/>
      </w:pPr>
      <w:r>
        <w:t>Clean database install and controlled upgrade complete with reconciliation.</w:t>
      </w:r>
    </w:p>
    <w:p>
      <w:pPr>
        <w:pStyle w:val="ListBullet"/>
      </w:pPr>
      <w:r>
        <w:t>Tenant, permission, entitlement, scope, approval and emergency-stop negative tests pass.</w:t>
      </w:r>
    </w:p>
    <w:p>
      <w:pPr>
        <w:pStyle w:val="ListBullet"/>
      </w:pPr>
      <w:r>
        <w:t>Encrypted backup restoration succeeds within approved objectives.</w:t>
      </w:r>
    </w:p>
    <w:p>
      <w:pPr>
        <w:pStyle w:val="ListBullet"/>
      </w:pPr>
      <w:r>
        <w:t>Collector and RAHIS signature, replay, revocation, offline and degraded-provider tests pass.</w:t>
      </w:r>
    </w:p>
    <w:p>
      <w:pPr>
        <w:pStyle w:val="ListBullet"/>
      </w:pPr>
      <w:r>
        <w:t>No prohibited sensitive content appears in browser, logs, evidence, AI prompts or backups.</w:t>
      </w:r>
    </w:p>
    <w:p>
      <w:pPr>
        <w:pStyle w:val="ListBullet"/>
      </w:pPr>
      <w:r>
        <w:t>SAST, DAST, dependency, secret, SBOM and independent penetration tests are accepted.</w:t>
      </w:r>
    </w:p>
    <w:p>
      <w:pPr>
        <w:pStyle w:val="ListBullet"/>
      </w:pPr>
      <w:r>
        <w:t>Performance, accessibility, responsive and representative Nigerian connectivity tests pass.</w:t>
      </w:r>
    </w:p>
    <w:p>
      <w:pPr>
        <w:pStyle w:val="ListBullet"/>
      </w:pPr>
      <w:r>
        <w:t>Operator runbooks, training, support, incident response, legal/privacy review and customer UAT are signed.</w:t>
      </w:r>
    </w:p>
    <w:p>
      <w:pPr>
        <w:pStyle w:val="Heading2"/>
      </w:pPr>
      <w:r>
        <w:t>38.14 Current controlled status</w:t>
      </w:r>
    </w:p>
    <w:p>
      <w:pPr>
        <w:pStyle w:val="RiskCallout"/>
      </w:pPr>
      <w:r>
        <w:t>The v0.2.0-alpha source is an engineering alpha and controlled staging candidate. Automated evidence covers 144 PHP files, 112 PHP tests, seven collector tests, four RAHIS bridge tests, 61 routes and 16 migrations. Live MySQL/MariaDB migration, Namecheap staging, restore, penetration, performance, provider and customer acceptance remain open. No public statement may describe the suite as a commissioned live service until those gates pass.</w:t>
      </w:r>
    </w:p>
    <w:p>
      <w:pPr>
        <w:pStyle w:val="Heading2"/>
      </w:pPr>
      <w:r>
        <w:t>38.15 100-day execution mandate</w:t>
      </w:r>
    </w:p>
    <w:p>
      <w:pPr>
        <w:pStyle w:val="ListNumber"/>
      </w:pPr>
      <w:r>
        <w:t>Ratify this v3.0 controlled update and assign product, security, privacy, commercial and release owners.</w:t>
      </w:r>
    </w:p>
    <w:p>
      <w:pPr>
        <w:pStyle w:val="ListNumber"/>
      </w:pPr>
      <w:r>
        <w:t>Create the Sentinel staging subdomain/database, run clean install and restore evidence.</w:t>
      </w:r>
    </w:p>
    <w:p>
      <w:pPr>
        <w:pStyle w:val="ListNumber"/>
      </w:pPr>
      <w:r>
        <w:t>Commission the first Foundation edition and owned public-web posture workflow.</w:t>
      </w:r>
    </w:p>
    <w:p>
      <w:pPr>
        <w:pStyle w:val="ListNumber"/>
      </w:pPr>
      <w:r>
        <w:t>Pilot the RAHIS v8.3 candidate and its v8.2 Sentinel overlay with Sandralia in disabled-by-default staging mode.</w:t>
      </w:r>
    </w:p>
    <w:p>
      <w:pPr>
        <w:pStyle w:val="ListNumber"/>
      </w:pPr>
      <w:r>
        <w:t>Package and install the restricted collector on one authorised Rihuum test environment.</w:t>
      </w:r>
    </w:p>
    <w:p>
      <w:pPr>
        <w:pStyle w:val="ListNumber"/>
      </w:pPr>
      <w:r>
        <w:t>Complete independent application security review and remediate all Critical/High findings.</w:t>
      </w:r>
    </w:p>
    <w:p>
      <w:pPr>
        <w:pStyle w:val="ListNumber"/>
      </w:pPr>
      <w:r>
        <w:t>Publish accurate product pages, authorised-use terms, privacy notices, service descriptions and Academy curriculum.</w:t>
      </w:r>
    </w:p>
    <w:p>
      <w:pPr>
        <w:pStyle w:val="ListNumber"/>
      </w:pPr>
      <w:r>
        <w:t>Run a controlled SME/hospitality pilot and measure detection, remediation, usability, support cost and renewal evidence.</w:t>
      </w:r>
    </w:p>
    <w:p>
      <w:bookmarkStart w:id="37" w:name="appa"/>
      <w:pPr>
        <w:pStyle w:val="Heading1"/>
      </w:pPr>
      <w:r>
        <w:t>APPENDIX A | First 90-Day Action Register</w:t>
      </w:r>
      <w:bookmarkEnd w:id="37"/>
    </w:p>
    <w:p>
      <w:pPr>
        <w:pStyle w:val="LeadCallout"/>
        <w:shd w:fill="F4F6F9"/>
        <w:pBdr>
          <w:left w:val="single" w:sz="18" w:space="8" w:color="C99A2E"/>
        </w:pBdr>
      </w:pPr>
      <w:r>
        <w:rPr>
          <w:b/>
          <w:color w:val="102A43"/>
        </w:rPr>
        <w:t xml:space="preserve">Use: </w:t>
      </w:r>
      <w:r>
        <w:t>The CEO should convert this register into the approved work-management system, assign named individuals and budgets, and review completion evidence weekly.</w:t>
      </w:r>
    </w:p>
    <w:p>
      <w:pPr>
        <w:pStyle w:val="Caption"/>
      </w:pPr>
      <w:r>
        <w:t>Table 54. First 90-day actions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500"/>
        <w:gridCol w:w="3720"/>
        <w:gridCol w:w="1800"/>
        <w:gridCol w:w="800"/>
        <w:gridCol w:w="2540"/>
      </w:tblGrid>
      <w:tr>
        <w:trPr>
          <w:tblHeader w:val="true"/>
          <w:cantSplit/>
        </w:trPr>
        <w:tc>
          <w:tcPr>
            <w:tcW w:type="dxa" w:w="500"/>
            <w:vAlign w:val="center"/>
            <w:shd w:fill="F2F4F7"/>
            <w:tcMar>
              <w:top w:w="80" w:type="dxa"/>
              <w:start w:w="120" w:type="dxa"/>
              <w:bottom w:w="80" w:type="dxa"/>
              <w:end w:w="120" w:type="dxa"/>
            </w:tcMar>
          </w:tcPr>
          <w:p>
            <w:pPr>
              <w:spacing w:before="0" w:after="0"/>
              <w:jc w:val="center"/>
            </w:pPr>
            <w:r>
              <w:rPr>
                <w:b/>
                <w:color w:val="102A43"/>
                <w:sz w:val="17"/>
              </w:rPr>
              <w:t>ID</w:t>
            </w:r>
          </w:p>
        </w:tc>
        <w:tc>
          <w:tcPr>
            <w:tcW w:type="dxa" w:w="3720"/>
            <w:vAlign w:val="center"/>
            <w:shd w:fill="F2F4F7"/>
            <w:tcMar>
              <w:top w:w="80" w:type="dxa"/>
              <w:start w:w="120" w:type="dxa"/>
              <w:bottom w:w="80" w:type="dxa"/>
              <w:end w:w="120" w:type="dxa"/>
            </w:tcMar>
          </w:tcPr>
          <w:p>
            <w:pPr>
              <w:spacing w:before="0" w:after="0"/>
              <w:jc w:val="center"/>
            </w:pPr>
            <w:r>
              <w:rPr>
                <w:b/>
                <w:color w:val="102A43"/>
                <w:sz w:val="17"/>
              </w:rPr>
              <w:t>Action</w:t>
            </w:r>
          </w:p>
        </w:tc>
        <w:tc>
          <w:tcPr>
            <w:tcW w:type="dxa" w:w="1800"/>
            <w:vAlign w:val="center"/>
            <w:shd w:fill="F2F4F7"/>
            <w:tcMar>
              <w:top w:w="80" w:type="dxa"/>
              <w:start w:w="120" w:type="dxa"/>
              <w:bottom w:w="80" w:type="dxa"/>
              <w:end w:w="120" w:type="dxa"/>
            </w:tcMar>
          </w:tcPr>
          <w:p>
            <w:pPr>
              <w:spacing w:before="0" w:after="0"/>
              <w:jc w:val="left"/>
            </w:pPr>
            <w:r>
              <w:rPr>
                <w:b/>
                <w:color w:val="102A43"/>
                <w:sz w:val="17"/>
              </w:rPr>
              <w:t>Accountable role</w:t>
            </w:r>
          </w:p>
        </w:tc>
        <w:tc>
          <w:tcPr>
            <w:tcW w:type="dxa" w:w="800"/>
            <w:vAlign w:val="center"/>
            <w:shd w:fill="F2F4F7"/>
            <w:tcMar>
              <w:top w:w="80" w:type="dxa"/>
              <w:start w:w="120" w:type="dxa"/>
              <w:bottom w:w="80" w:type="dxa"/>
              <w:end w:w="120" w:type="dxa"/>
            </w:tcMar>
          </w:tcPr>
          <w:p>
            <w:pPr>
              <w:spacing w:before="0" w:after="0"/>
              <w:jc w:val="center"/>
            </w:pPr>
            <w:r>
              <w:rPr>
                <w:b/>
                <w:color w:val="102A43"/>
                <w:sz w:val="17"/>
              </w:rPr>
              <w:t>Due</w:t>
            </w:r>
          </w:p>
        </w:tc>
        <w:tc>
          <w:tcPr>
            <w:tcW w:type="dxa" w:w="2540"/>
            <w:vAlign w:val="center"/>
            <w:shd w:fill="F2F4F7"/>
            <w:tcMar>
              <w:top w:w="80" w:type="dxa"/>
              <w:start w:w="120" w:type="dxa"/>
              <w:bottom w:w="80" w:type="dxa"/>
              <w:end w:w="120" w:type="dxa"/>
            </w:tcMar>
          </w:tcPr>
          <w:p>
            <w:pPr>
              <w:spacing w:before="0" w:after="0"/>
              <w:jc w:val="left"/>
            </w:pPr>
            <w:r>
              <w:rPr>
                <w:b/>
                <w:color w:val="102A43"/>
                <w:sz w:val="17"/>
              </w:rPr>
              <w:t>Completion evidence</w:t>
            </w:r>
          </w:p>
        </w:tc>
      </w:tr>
      <w:tr>
        <w:trPr>
          <w:cantSplit/>
        </w:trPr>
        <w:tc>
          <w:tcPr>
            <w:tcW w:type="dxa" w:w="500"/>
            <w:vAlign w:val="center"/>
            <w:tcMar>
              <w:top w:w="80" w:type="dxa"/>
              <w:start w:w="120" w:type="dxa"/>
              <w:bottom w:w="80" w:type="dxa"/>
              <w:end w:w="120" w:type="dxa"/>
            </w:tcMar>
          </w:tcPr>
          <w:p>
            <w:pPr>
              <w:spacing w:before="0" w:after="20" w:line="252" w:lineRule="auto"/>
              <w:jc w:val="left"/>
            </w:pPr>
            <w:r>
              <w:rPr>
                <w:color w:val="1D2733"/>
                <w:sz w:val="16"/>
              </w:rPr>
              <w:t>A01</w:t>
            </w:r>
          </w:p>
        </w:tc>
        <w:tc>
          <w:tcPr>
            <w:tcW w:type="dxa" w:w="3720"/>
            <w:vAlign w:val="center"/>
            <w:tcMar>
              <w:top w:w="80" w:type="dxa"/>
              <w:start w:w="120" w:type="dxa"/>
              <w:bottom w:w="80" w:type="dxa"/>
              <w:end w:w="120" w:type="dxa"/>
            </w:tcMar>
          </w:tcPr>
          <w:p>
            <w:pPr>
              <w:spacing w:before="0" w:after="20" w:line="252" w:lineRule="auto"/>
              <w:jc w:val="left"/>
            </w:pPr>
            <w:r>
              <w:rPr>
                <w:color w:val="1D2733"/>
                <w:sz w:val="16"/>
              </w:rPr>
              <w:t>Verify CAC profile, incorporation documents, directors/shareholding, beneficial ownership, registered office and annual-return status</w:t>
            </w:r>
          </w:p>
        </w:tc>
        <w:tc>
          <w:tcPr>
            <w:tcW w:type="dxa" w:w="1800"/>
            <w:vAlign w:val="center"/>
            <w:tcMar>
              <w:top w:w="80" w:type="dxa"/>
              <w:start w:w="120" w:type="dxa"/>
              <w:bottom w:w="80" w:type="dxa"/>
              <w:end w:w="120" w:type="dxa"/>
            </w:tcMar>
          </w:tcPr>
          <w:p>
            <w:pPr>
              <w:spacing w:before="0" w:after="20" w:line="252" w:lineRule="auto"/>
              <w:jc w:val="left"/>
            </w:pPr>
            <w:r>
              <w:rPr>
                <w:color w:val="1D2733"/>
                <w:sz w:val="16"/>
              </w:rPr>
              <w:t>Company Secretary / CEO</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Day 15</w:t>
            </w:r>
          </w:p>
        </w:tc>
        <w:tc>
          <w:tcPr>
            <w:tcW w:type="dxa" w:w="2540"/>
            <w:vAlign w:val="center"/>
            <w:tcMar>
              <w:top w:w="80" w:type="dxa"/>
              <w:start w:w="120" w:type="dxa"/>
              <w:bottom w:w="80" w:type="dxa"/>
              <w:end w:w="120" w:type="dxa"/>
            </w:tcMar>
          </w:tcPr>
          <w:p>
            <w:pPr>
              <w:spacing w:before="0" w:after="20" w:line="252" w:lineRule="auto"/>
              <w:jc w:val="left"/>
            </w:pPr>
            <w:r>
              <w:rPr>
                <w:color w:val="1D2733"/>
                <w:sz w:val="16"/>
              </w:rPr>
              <w:t>Signed corporate-facts register and corrective filing plan</w:t>
            </w:r>
          </w:p>
        </w:tc>
      </w:tr>
      <w:tr>
        <w:trPr>
          <w:cantSplit/>
        </w:trPr>
        <w:tc>
          <w:tcPr>
            <w:tcW w:type="dxa" w:w="500"/>
            <w:vAlign w:val="center"/>
            <w:shd w:fill="FAFBFC"/>
            <w:tcMar>
              <w:top w:w="80" w:type="dxa"/>
              <w:start w:w="120" w:type="dxa"/>
              <w:bottom w:w="80" w:type="dxa"/>
              <w:end w:w="120" w:type="dxa"/>
            </w:tcMar>
          </w:tcPr>
          <w:p>
            <w:pPr>
              <w:spacing w:before="0" w:after="20" w:line="252" w:lineRule="auto"/>
              <w:jc w:val="left"/>
            </w:pPr>
            <w:r>
              <w:rPr>
                <w:color w:val="1D2733"/>
                <w:sz w:val="16"/>
              </w:rPr>
              <w:t>A02</w:t>
            </w:r>
          </w:p>
        </w:tc>
        <w:tc>
          <w:tcPr>
            <w:tcW w:type="dxa" w:w="3720"/>
            <w:vAlign w:val="center"/>
            <w:shd w:fill="FAFBFC"/>
            <w:tcMar>
              <w:top w:w="80" w:type="dxa"/>
              <w:start w:w="120" w:type="dxa"/>
              <w:bottom w:w="80" w:type="dxa"/>
              <w:end w:w="120" w:type="dxa"/>
            </w:tcMar>
          </w:tcPr>
          <w:p>
            <w:pPr>
              <w:spacing w:before="0" w:after="20" w:line="252" w:lineRule="auto"/>
              <w:jc w:val="left"/>
            </w:pPr>
            <w:r>
              <w:rPr>
                <w:color w:val="1D2733"/>
                <w:sz w:val="16"/>
              </w:rPr>
              <w:t>Verify the separate CAC name/number and records for Rihuum Technology and Digital Hub</w:t>
            </w:r>
          </w:p>
        </w:tc>
        <w:tc>
          <w:tcPr>
            <w:tcW w:type="dxa" w:w="1800"/>
            <w:vAlign w:val="center"/>
            <w:shd w:fill="FAFBFC"/>
            <w:tcMar>
              <w:top w:w="80" w:type="dxa"/>
              <w:start w:w="120" w:type="dxa"/>
              <w:bottom w:w="80" w:type="dxa"/>
              <w:end w:w="120" w:type="dxa"/>
            </w:tcMar>
          </w:tcPr>
          <w:p>
            <w:pPr>
              <w:spacing w:before="0" w:after="20" w:line="252" w:lineRule="auto"/>
              <w:jc w:val="left"/>
            </w:pPr>
            <w:r>
              <w:rPr>
                <w:color w:val="1D2733"/>
                <w:sz w:val="16"/>
              </w:rPr>
              <w:t>Company Secretary</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Day 15</w:t>
            </w:r>
          </w:p>
        </w:tc>
        <w:tc>
          <w:tcPr>
            <w:tcW w:type="dxa" w:w="2540"/>
            <w:vAlign w:val="center"/>
            <w:shd w:fill="FAFBFC"/>
            <w:tcMar>
              <w:top w:w="80" w:type="dxa"/>
              <w:start w:w="120" w:type="dxa"/>
              <w:bottom w:w="80" w:type="dxa"/>
              <w:end w:w="120" w:type="dxa"/>
            </w:tcMar>
          </w:tcPr>
          <w:p>
            <w:pPr>
              <w:spacing w:before="0" w:after="20" w:line="252" w:lineRule="auto"/>
              <w:jc w:val="left"/>
            </w:pPr>
            <w:r>
              <w:rPr>
                <w:color w:val="1D2733"/>
                <w:sz w:val="16"/>
              </w:rPr>
              <w:t>Verified certificate/profile and approved display value</w:t>
            </w:r>
          </w:p>
        </w:tc>
      </w:tr>
      <w:tr>
        <w:trPr>
          <w:cantSplit/>
        </w:trPr>
        <w:tc>
          <w:tcPr>
            <w:tcW w:type="dxa" w:w="500"/>
            <w:vAlign w:val="center"/>
            <w:tcMar>
              <w:top w:w="80" w:type="dxa"/>
              <w:start w:w="120" w:type="dxa"/>
              <w:bottom w:w="80" w:type="dxa"/>
              <w:end w:w="120" w:type="dxa"/>
            </w:tcMar>
          </w:tcPr>
          <w:p>
            <w:pPr>
              <w:spacing w:before="0" w:after="20" w:line="252" w:lineRule="auto"/>
              <w:jc w:val="left"/>
            </w:pPr>
            <w:r>
              <w:rPr>
                <w:color w:val="1D2733"/>
                <w:sz w:val="16"/>
              </w:rPr>
              <w:t>A03</w:t>
            </w:r>
          </w:p>
        </w:tc>
        <w:tc>
          <w:tcPr>
            <w:tcW w:type="dxa" w:w="3720"/>
            <w:vAlign w:val="center"/>
            <w:tcMar>
              <w:top w:w="80" w:type="dxa"/>
              <w:start w:w="120" w:type="dxa"/>
              <w:bottom w:w="80" w:type="dxa"/>
              <w:end w:w="120" w:type="dxa"/>
            </w:tcMar>
          </w:tcPr>
          <w:p>
            <w:pPr>
              <w:spacing w:before="0" w:after="20" w:line="252" w:lineRule="auto"/>
              <w:jc w:val="left"/>
            </w:pPr>
            <w:r>
              <w:rPr>
                <w:color w:val="1D2733"/>
                <w:sz w:val="16"/>
              </w:rPr>
              <w:t>Secure domain registrar, DNS, hosting, email and social accounts with named owners, MFA and recovery custody</w:t>
            </w:r>
          </w:p>
        </w:tc>
        <w:tc>
          <w:tcPr>
            <w:tcW w:type="dxa" w:w="1800"/>
            <w:vAlign w:val="center"/>
            <w:tcMar>
              <w:top w:w="80" w:type="dxa"/>
              <w:start w:w="120" w:type="dxa"/>
              <w:bottom w:w="80" w:type="dxa"/>
              <w:end w:w="120" w:type="dxa"/>
            </w:tcMar>
          </w:tcPr>
          <w:p>
            <w:pPr>
              <w:spacing w:before="0" w:after="20" w:line="252" w:lineRule="auto"/>
              <w:jc w:val="left"/>
            </w:pPr>
            <w:r>
              <w:rPr>
                <w:color w:val="1D2733"/>
                <w:sz w:val="16"/>
              </w:rPr>
              <w:t>CTO / Security</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Day 10</w:t>
            </w:r>
          </w:p>
        </w:tc>
        <w:tc>
          <w:tcPr>
            <w:tcW w:type="dxa" w:w="2540"/>
            <w:vAlign w:val="center"/>
            <w:tcMar>
              <w:top w:w="80" w:type="dxa"/>
              <w:start w:w="120" w:type="dxa"/>
              <w:bottom w:w="80" w:type="dxa"/>
              <w:end w:w="120" w:type="dxa"/>
            </w:tcMar>
          </w:tcPr>
          <w:p>
            <w:pPr>
              <w:spacing w:before="0" w:after="20" w:line="252" w:lineRule="auto"/>
              <w:jc w:val="left"/>
            </w:pPr>
            <w:r>
              <w:rPr>
                <w:color w:val="1D2733"/>
                <w:sz w:val="16"/>
              </w:rPr>
              <w:t>Asset/access register and recovery test</w:t>
            </w:r>
          </w:p>
        </w:tc>
      </w:tr>
      <w:tr>
        <w:trPr>
          <w:cantSplit/>
        </w:trPr>
        <w:tc>
          <w:tcPr>
            <w:tcW w:type="dxa" w:w="500"/>
            <w:vAlign w:val="center"/>
            <w:shd w:fill="FAFBFC"/>
            <w:tcMar>
              <w:top w:w="80" w:type="dxa"/>
              <w:start w:w="120" w:type="dxa"/>
              <w:bottom w:w="80" w:type="dxa"/>
              <w:end w:w="120" w:type="dxa"/>
            </w:tcMar>
          </w:tcPr>
          <w:p>
            <w:pPr>
              <w:spacing w:before="0" w:after="20" w:line="252" w:lineRule="auto"/>
              <w:jc w:val="left"/>
            </w:pPr>
            <w:r>
              <w:rPr>
                <w:color w:val="1D2733"/>
                <w:sz w:val="16"/>
              </w:rPr>
              <w:t>A04</w:t>
            </w:r>
          </w:p>
        </w:tc>
        <w:tc>
          <w:tcPr>
            <w:tcW w:type="dxa" w:w="3720"/>
            <w:vAlign w:val="center"/>
            <w:shd w:fill="FAFBFC"/>
            <w:tcMar>
              <w:top w:w="80" w:type="dxa"/>
              <w:start w:w="120" w:type="dxa"/>
              <w:bottom w:w="80" w:type="dxa"/>
              <w:end w:w="120" w:type="dxa"/>
            </w:tcMar>
          </w:tcPr>
          <w:p>
            <w:pPr>
              <w:spacing w:before="0" w:after="20" w:line="252" w:lineRule="auto"/>
              <w:jc w:val="left"/>
            </w:pPr>
            <w:r>
              <w:rPr>
                <w:color w:val="1D2733"/>
                <w:sz w:val="16"/>
              </w:rPr>
              <w:t>Inventory every website, repository, application, client deployment, database, vendor, device, licence and dataset</w:t>
            </w:r>
          </w:p>
        </w:tc>
        <w:tc>
          <w:tcPr>
            <w:tcW w:type="dxa" w:w="1800"/>
            <w:vAlign w:val="center"/>
            <w:shd w:fill="FAFBFC"/>
            <w:tcMar>
              <w:top w:w="80" w:type="dxa"/>
              <w:start w:w="120" w:type="dxa"/>
              <w:bottom w:w="80" w:type="dxa"/>
              <w:end w:w="120" w:type="dxa"/>
            </w:tcMar>
          </w:tcPr>
          <w:p>
            <w:pPr>
              <w:spacing w:before="0" w:after="20" w:line="252" w:lineRule="auto"/>
              <w:jc w:val="center"/>
            </w:pPr>
            <w:r>
              <w:rPr>
                <w:color w:val="1D2733"/>
                <w:sz w:val="16"/>
              </w:rPr>
              <w:t>CTO / PMO</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Day 20</w:t>
            </w:r>
          </w:p>
        </w:tc>
        <w:tc>
          <w:tcPr>
            <w:tcW w:type="dxa" w:w="2540"/>
            <w:vAlign w:val="center"/>
            <w:shd w:fill="FAFBFC"/>
            <w:tcMar>
              <w:top w:w="80" w:type="dxa"/>
              <w:start w:w="120" w:type="dxa"/>
              <w:bottom w:w="80" w:type="dxa"/>
              <w:end w:w="120" w:type="dxa"/>
            </w:tcMar>
          </w:tcPr>
          <w:p>
            <w:pPr>
              <w:spacing w:before="0" w:after="20" w:line="252" w:lineRule="auto"/>
              <w:jc w:val="left"/>
            </w:pPr>
            <w:r>
              <w:rPr>
                <w:color w:val="1D2733"/>
                <w:sz w:val="16"/>
              </w:rPr>
              <w:t>Complete classified asset/portfolio inventory</w:t>
            </w:r>
          </w:p>
        </w:tc>
      </w:tr>
      <w:tr>
        <w:trPr>
          <w:cantSplit/>
        </w:trPr>
        <w:tc>
          <w:tcPr>
            <w:tcW w:type="dxa" w:w="500"/>
            <w:vAlign w:val="center"/>
            <w:tcMar>
              <w:top w:w="80" w:type="dxa"/>
              <w:start w:w="120" w:type="dxa"/>
              <w:bottom w:w="80" w:type="dxa"/>
              <w:end w:w="120" w:type="dxa"/>
            </w:tcMar>
          </w:tcPr>
          <w:p>
            <w:pPr>
              <w:spacing w:before="0" w:after="20" w:line="252" w:lineRule="auto"/>
              <w:jc w:val="left"/>
            </w:pPr>
            <w:r>
              <w:rPr>
                <w:color w:val="1D2733"/>
                <w:sz w:val="16"/>
              </w:rPr>
              <w:t>A05</w:t>
            </w:r>
          </w:p>
        </w:tc>
        <w:tc>
          <w:tcPr>
            <w:tcW w:type="dxa" w:w="3720"/>
            <w:vAlign w:val="center"/>
            <w:tcMar>
              <w:top w:w="80" w:type="dxa"/>
              <w:start w:w="120" w:type="dxa"/>
              <w:bottom w:w="80" w:type="dxa"/>
              <w:end w:w="120" w:type="dxa"/>
            </w:tcMar>
          </w:tcPr>
          <w:p>
            <w:pPr>
              <w:spacing w:before="0" w:after="20" w:line="252" w:lineRule="auto"/>
              <w:jc w:val="left"/>
            </w:pPr>
            <w:r>
              <w:rPr>
                <w:color w:val="1D2733"/>
                <w:sz w:val="16"/>
              </w:rPr>
              <w:t>Approve reserved decisions, executive roles, portfolio committee and Technology/Data/AI Council</w:t>
            </w:r>
          </w:p>
        </w:tc>
        <w:tc>
          <w:tcPr>
            <w:tcW w:type="dxa" w:w="1800"/>
            <w:vAlign w:val="center"/>
            <w:tcMar>
              <w:top w:w="80" w:type="dxa"/>
              <w:start w:w="120" w:type="dxa"/>
              <w:bottom w:w="80" w:type="dxa"/>
              <w:end w:w="120" w:type="dxa"/>
            </w:tcMar>
          </w:tcPr>
          <w:p>
            <w:pPr>
              <w:spacing w:before="0" w:after="20" w:line="252" w:lineRule="auto"/>
              <w:jc w:val="center"/>
            </w:pPr>
            <w:r>
              <w:rPr>
                <w:color w:val="1D2733"/>
                <w:sz w:val="16"/>
              </w:rPr>
              <w:t>Board / CEO</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Day 20</w:t>
            </w:r>
          </w:p>
        </w:tc>
        <w:tc>
          <w:tcPr>
            <w:tcW w:type="dxa" w:w="2540"/>
            <w:vAlign w:val="center"/>
            <w:tcMar>
              <w:top w:w="80" w:type="dxa"/>
              <w:start w:w="120" w:type="dxa"/>
              <w:bottom w:w="80" w:type="dxa"/>
              <w:end w:w="120" w:type="dxa"/>
            </w:tcMar>
          </w:tcPr>
          <w:p>
            <w:pPr>
              <w:spacing w:before="0" w:after="20" w:line="252" w:lineRule="auto"/>
              <w:jc w:val="left"/>
            </w:pPr>
            <w:r>
              <w:rPr>
                <w:color w:val="1D2733"/>
                <w:sz w:val="16"/>
              </w:rPr>
              <w:t>Terms of reference, RACI and meeting calendar</w:t>
            </w:r>
          </w:p>
        </w:tc>
      </w:tr>
      <w:tr>
        <w:trPr>
          <w:cantSplit/>
        </w:trPr>
        <w:tc>
          <w:tcPr>
            <w:tcW w:type="dxa" w:w="500"/>
            <w:vAlign w:val="center"/>
            <w:shd w:fill="FAFBFC"/>
            <w:tcMar>
              <w:top w:w="80" w:type="dxa"/>
              <w:start w:w="120" w:type="dxa"/>
              <w:bottom w:w="80" w:type="dxa"/>
              <w:end w:w="120" w:type="dxa"/>
            </w:tcMar>
          </w:tcPr>
          <w:p>
            <w:pPr>
              <w:spacing w:before="0" w:after="20" w:line="252" w:lineRule="auto"/>
              <w:jc w:val="left"/>
            </w:pPr>
            <w:r>
              <w:rPr>
                <w:color w:val="1D2733"/>
                <w:sz w:val="16"/>
              </w:rPr>
              <w:t>A06</w:t>
            </w:r>
          </w:p>
        </w:tc>
        <w:tc>
          <w:tcPr>
            <w:tcW w:type="dxa" w:w="3720"/>
            <w:vAlign w:val="center"/>
            <w:shd w:fill="FAFBFC"/>
            <w:tcMar>
              <w:top w:w="80" w:type="dxa"/>
              <w:start w:w="120" w:type="dxa"/>
              <w:bottom w:w="80" w:type="dxa"/>
              <w:end w:w="120" w:type="dxa"/>
            </w:tcMar>
          </w:tcPr>
          <w:p>
            <w:pPr>
              <w:spacing w:before="0" w:after="20" w:line="252" w:lineRule="auto"/>
              <w:jc w:val="left"/>
            </w:pPr>
            <w:r>
              <w:rPr>
                <w:color w:val="1D2733"/>
                <w:sz w:val="16"/>
              </w:rPr>
              <w:t>Approve top risks, risk appetite, incident authority and 90-day funding envelope</w:t>
            </w:r>
          </w:p>
        </w:tc>
        <w:tc>
          <w:tcPr>
            <w:tcW w:type="dxa" w:w="1800"/>
            <w:vAlign w:val="center"/>
            <w:shd w:fill="FAFBFC"/>
            <w:tcMar>
              <w:top w:w="80" w:type="dxa"/>
              <w:start w:w="120" w:type="dxa"/>
              <w:bottom w:w="80" w:type="dxa"/>
              <w:end w:w="120" w:type="dxa"/>
            </w:tcMar>
          </w:tcPr>
          <w:p>
            <w:pPr>
              <w:spacing w:before="0" w:after="20" w:line="252" w:lineRule="auto"/>
              <w:jc w:val="left"/>
            </w:pPr>
            <w:r>
              <w:rPr>
                <w:color w:val="1D2733"/>
                <w:sz w:val="16"/>
              </w:rPr>
              <w:t>Board / CEO / Finance</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Day 30</w:t>
            </w:r>
          </w:p>
        </w:tc>
        <w:tc>
          <w:tcPr>
            <w:tcW w:type="dxa" w:w="2540"/>
            <w:vAlign w:val="center"/>
            <w:shd w:fill="FAFBFC"/>
            <w:tcMar>
              <w:top w:w="80" w:type="dxa"/>
              <w:start w:w="120" w:type="dxa"/>
              <w:bottom w:w="80" w:type="dxa"/>
              <w:end w:w="120" w:type="dxa"/>
            </w:tcMar>
          </w:tcPr>
          <w:p>
            <w:pPr>
              <w:spacing w:before="0" w:after="20" w:line="252" w:lineRule="auto"/>
              <w:jc w:val="left"/>
            </w:pPr>
            <w:r>
              <w:rPr>
                <w:color w:val="1D2733"/>
                <w:sz w:val="16"/>
              </w:rPr>
              <w:t>Board decision and funded action register</w:t>
            </w:r>
          </w:p>
        </w:tc>
      </w:tr>
      <w:tr>
        <w:trPr>
          <w:cantSplit/>
        </w:trPr>
        <w:tc>
          <w:tcPr>
            <w:tcW w:type="dxa" w:w="500"/>
            <w:vAlign w:val="center"/>
            <w:tcMar>
              <w:top w:w="80" w:type="dxa"/>
              <w:start w:w="120" w:type="dxa"/>
              <w:bottom w:w="80" w:type="dxa"/>
              <w:end w:w="120" w:type="dxa"/>
            </w:tcMar>
          </w:tcPr>
          <w:p>
            <w:pPr>
              <w:spacing w:before="0" w:after="20" w:line="252" w:lineRule="auto"/>
              <w:jc w:val="left"/>
            </w:pPr>
            <w:r>
              <w:rPr>
                <w:color w:val="1D2733"/>
                <w:sz w:val="16"/>
              </w:rPr>
              <w:t>A07</w:t>
            </w:r>
          </w:p>
        </w:tc>
        <w:tc>
          <w:tcPr>
            <w:tcW w:type="dxa" w:w="3720"/>
            <w:vAlign w:val="center"/>
            <w:tcMar>
              <w:top w:w="80" w:type="dxa"/>
              <w:start w:w="120" w:type="dxa"/>
              <w:bottom w:w="80" w:type="dxa"/>
              <w:end w:w="120" w:type="dxa"/>
            </w:tcMar>
          </w:tcPr>
          <w:p>
            <w:pPr>
              <w:spacing w:before="0" w:after="20" w:line="252" w:lineRule="auto"/>
              <w:jc w:val="left"/>
            </w:pPr>
            <w:r>
              <w:rPr>
                <w:color w:val="1D2733"/>
                <w:sz w:val="16"/>
              </w:rPr>
              <w:t>Establish accounting close, cash forecast, receivables, procurement/payment control and product/project cost capture</w:t>
            </w:r>
          </w:p>
        </w:tc>
        <w:tc>
          <w:tcPr>
            <w:tcW w:type="dxa" w:w="1800"/>
            <w:vAlign w:val="center"/>
            <w:tcMar>
              <w:top w:w="80" w:type="dxa"/>
              <w:start w:w="120" w:type="dxa"/>
              <w:bottom w:w="80" w:type="dxa"/>
              <w:end w:w="120" w:type="dxa"/>
            </w:tcMar>
          </w:tcPr>
          <w:p>
            <w:pPr>
              <w:spacing w:before="0" w:after="20" w:line="252" w:lineRule="auto"/>
              <w:jc w:val="center"/>
            </w:pPr>
            <w:r>
              <w:rPr>
                <w:color w:val="1D2733"/>
                <w:sz w:val="16"/>
              </w:rPr>
              <w:t>Finance lead</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Day 30</w:t>
            </w:r>
          </w:p>
        </w:tc>
        <w:tc>
          <w:tcPr>
            <w:tcW w:type="dxa" w:w="2540"/>
            <w:vAlign w:val="center"/>
            <w:tcMar>
              <w:top w:w="80" w:type="dxa"/>
              <w:start w:w="120" w:type="dxa"/>
              <w:bottom w:w="80" w:type="dxa"/>
              <w:end w:w="120" w:type="dxa"/>
            </w:tcMar>
          </w:tcPr>
          <w:p>
            <w:pPr>
              <w:spacing w:before="0" w:after="20" w:line="252" w:lineRule="auto"/>
              <w:jc w:val="left"/>
            </w:pPr>
            <w:r>
              <w:rPr>
                <w:color w:val="1D2733"/>
                <w:sz w:val="16"/>
              </w:rPr>
              <w:t>Reconciled opening dashboard and 13-week forecast</w:t>
            </w:r>
          </w:p>
        </w:tc>
      </w:tr>
      <w:tr>
        <w:trPr>
          <w:cantSplit/>
        </w:trPr>
        <w:tc>
          <w:tcPr>
            <w:tcW w:type="dxa" w:w="500"/>
            <w:vAlign w:val="center"/>
            <w:shd w:fill="FAFBFC"/>
            <w:tcMar>
              <w:top w:w="80" w:type="dxa"/>
              <w:start w:w="120" w:type="dxa"/>
              <w:bottom w:w="80" w:type="dxa"/>
              <w:end w:w="120" w:type="dxa"/>
            </w:tcMar>
          </w:tcPr>
          <w:p>
            <w:pPr>
              <w:spacing w:before="0" w:after="20" w:line="252" w:lineRule="auto"/>
              <w:jc w:val="left"/>
            </w:pPr>
            <w:r>
              <w:rPr>
                <w:color w:val="1D2733"/>
                <w:sz w:val="16"/>
              </w:rPr>
              <w:t>A08</w:t>
            </w:r>
          </w:p>
        </w:tc>
        <w:tc>
          <w:tcPr>
            <w:tcW w:type="dxa" w:w="3720"/>
            <w:vAlign w:val="center"/>
            <w:shd w:fill="FAFBFC"/>
            <w:tcMar>
              <w:top w:w="80" w:type="dxa"/>
              <w:start w:w="120" w:type="dxa"/>
              <w:bottom w:w="80" w:type="dxa"/>
              <w:end w:w="120" w:type="dxa"/>
            </w:tcMar>
          </w:tcPr>
          <w:p>
            <w:pPr>
              <w:spacing w:before="0" w:after="20" w:line="252" w:lineRule="auto"/>
              <w:jc w:val="left"/>
            </w:pPr>
            <w:r>
              <w:rPr>
                <w:color w:val="1D2733"/>
                <w:sz w:val="16"/>
              </w:rPr>
              <w:t>Approve official brand asset repository, logo usage, legal/footer data and interim digital design tokens</w:t>
            </w:r>
          </w:p>
        </w:tc>
        <w:tc>
          <w:tcPr>
            <w:tcW w:type="dxa" w:w="1800"/>
            <w:vAlign w:val="center"/>
            <w:shd w:fill="FAFBFC"/>
            <w:tcMar>
              <w:top w:w="80" w:type="dxa"/>
              <w:start w:w="120" w:type="dxa"/>
              <w:bottom w:w="80" w:type="dxa"/>
              <w:end w:w="120" w:type="dxa"/>
            </w:tcMar>
          </w:tcPr>
          <w:p>
            <w:pPr>
              <w:spacing w:before="0" w:after="20" w:line="252" w:lineRule="auto"/>
              <w:jc w:val="left"/>
            </w:pPr>
            <w:r>
              <w:rPr>
                <w:color w:val="1D2733"/>
                <w:sz w:val="16"/>
              </w:rPr>
              <w:t>Corporate Communications / Legal</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Day 30</w:t>
            </w:r>
          </w:p>
        </w:tc>
        <w:tc>
          <w:tcPr>
            <w:tcW w:type="dxa" w:w="2540"/>
            <w:vAlign w:val="center"/>
            <w:shd w:fill="FAFBFC"/>
            <w:tcMar>
              <w:top w:w="80" w:type="dxa"/>
              <w:start w:w="120" w:type="dxa"/>
              <w:bottom w:w="80" w:type="dxa"/>
              <w:end w:w="120" w:type="dxa"/>
            </w:tcMar>
          </w:tcPr>
          <w:p>
            <w:pPr>
              <w:spacing w:before="0" w:after="20" w:line="252" w:lineRule="auto"/>
              <w:jc w:val="left"/>
            </w:pPr>
            <w:r>
              <w:rPr>
                <w:color w:val="1D2733"/>
                <w:sz w:val="16"/>
              </w:rPr>
              <w:t>Versioned brand guide and templates</w:t>
            </w:r>
          </w:p>
        </w:tc>
      </w:tr>
      <w:tr>
        <w:trPr>
          <w:cantSplit/>
        </w:trPr>
        <w:tc>
          <w:tcPr>
            <w:tcW w:type="dxa" w:w="500"/>
            <w:vAlign w:val="center"/>
            <w:tcMar>
              <w:top w:w="80" w:type="dxa"/>
              <w:start w:w="120" w:type="dxa"/>
              <w:bottom w:w="80" w:type="dxa"/>
              <w:end w:w="120" w:type="dxa"/>
            </w:tcMar>
          </w:tcPr>
          <w:p>
            <w:pPr>
              <w:spacing w:before="0" w:after="20" w:line="252" w:lineRule="auto"/>
              <w:jc w:val="left"/>
            </w:pPr>
            <w:r>
              <w:rPr>
                <w:color w:val="1D2733"/>
                <w:sz w:val="16"/>
              </w:rPr>
              <w:t>A09</w:t>
            </w:r>
          </w:p>
        </w:tc>
        <w:tc>
          <w:tcPr>
            <w:tcW w:type="dxa" w:w="3720"/>
            <w:vAlign w:val="center"/>
            <w:tcMar>
              <w:top w:w="80" w:type="dxa"/>
              <w:start w:w="120" w:type="dxa"/>
              <w:bottom w:w="80" w:type="dxa"/>
              <w:end w:w="120" w:type="dxa"/>
            </w:tcMar>
          </w:tcPr>
          <w:p>
            <w:pPr>
              <w:spacing w:before="0" w:after="20" w:line="252" w:lineRule="auto"/>
              <w:jc w:val="left"/>
            </w:pPr>
            <w:r>
              <w:rPr>
                <w:color w:val="1D2733"/>
                <w:sz w:val="16"/>
              </w:rPr>
              <w:t>Approve three-domain sitemap, canonical/redirect plan, content ownership, privacy/terms and analytics/consent design</w:t>
            </w:r>
          </w:p>
        </w:tc>
        <w:tc>
          <w:tcPr>
            <w:tcW w:type="dxa" w:w="1800"/>
            <w:vAlign w:val="center"/>
            <w:tcMar>
              <w:top w:w="80" w:type="dxa"/>
              <w:start w:w="120" w:type="dxa"/>
              <w:bottom w:w="80" w:type="dxa"/>
              <w:end w:w="120" w:type="dxa"/>
            </w:tcMar>
          </w:tcPr>
          <w:p>
            <w:pPr>
              <w:spacing w:before="0" w:after="20" w:line="252" w:lineRule="auto"/>
              <w:jc w:val="left"/>
            </w:pPr>
            <w:r>
              <w:rPr>
                <w:color w:val="1D2733"/>
                <w:sz w:val="16"/>
              </w:rPr>
              <w:t>Product / Marketing / Privacy</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Day 30</w:t>
            </w:r>
          </w:p>
        </w:tc>
        <w:tc>
          <w:tcPr>
            <w:tcW w:type="dxa" w:w="2540"/>
            <w:vAlign w:val="center"/>
            <w:tcMar>
              <w:top w:w="80" w:type="dxa"/>
              <w:start w:w="120" w:type="dxa"/>
              <w:bottom w:w="80" w:type="dxa"/>
              <w:end w:w="120" w:type="dxa"/>
            </w:tcMar>
          </w:tcPr>
          <w:p>
            <w:pPr>
              <w:spacing w:before="0" w:after="20" w:line="252" w:lineRule="auto"/>
              <w:jc w:val="left"/>
            </w:pPr>
            <w:r>
              <w:rPr>
                <w:color w:val="1D2733"/>
                <w:sz w:val="16"/>
              </w:rPr>
              <w:t>Signed information architecture and content register</w:t>
            </w:r>
          </w:p>
        </w:tc>
      </w:tr>
      <w:tr>
        <w:trPr>
          <w:cantSplit/>
        </w:trPr>
        <w:tc>
          <w:tcPr>
            <w:tcW w:type="dxa" w:w="500"/>
            <w:vAlign w:val="center"/>
            <w:shd w:fill="FAFBFC"/>
            <w:tcMar>
              <w:top w:w="80" w:type="dxa"/>
              <w:start w:w="120" w:type="dxa"/>
              <w:bottom w:w="80" w:type="dxa"/>
              <w:end w:w="120" w:type="dxa"/>
            </w:tcMar>
          </w:tcPr>
          <w:p>
            <w:pPr>
              <w:spacing w:before="0" w:after="20" w:line="252" w:lineRule="auto"/>
              <w:jc w:val="left"/>
            </w:pPr>
            <w:r>
              <w:rPr>
                <w:color w:val="1D2733"/>
                <w:sz w:val="16"/>
              </w:rPr>
              <w:t>A10</w:t>
            </w:r>
          </w:p>
        </w:tc>
        <w:tc>
          <w:tcPr>
            <w:tcW w:type="dxa" w:w="3720"/>
            <w:vAlign w:val="center"/>
            <w:shd w:fill="FAFBFC"/>
            <w:tcMar>
              <w:top w:w="80" w:type="dxa"/>
              <w:start w:w="120" w:type="dxa"/>
              <w:bottom w:w="80" w:type="dxa"/>
              <w:end w:w="120" w:type="dxa"/>
            </w:tcMar>
          </w:tcPr>
          <w:p>
            <w:pPr>
              <w:spacing w:before="0" w:after="20" w:line="252" w:lineRule="auto"/>
              <w:jc w:val="left"/>
            </w:pPr>
            <w:r>
              <w:rPr>
                <w:color w:val="1D2733"/>
                <w:sz w:val="16"/>
              </w:rPr>
              <w:t>Launch/refresh corporate, technology/Academy and operations foundations on rihuum.com, rihuum.tech and rihuum.net</w:t>
            </w:r>
          </w:p>
        </w:tc>
        <w:tc>
          <w:tcPr>
            <w:tcW w:type="dxa" w:w="1800"/>
            <w:vAlign w:val="center"/>
            <w:shd w:fill="FAFBFC"/>
            <w:tcMar>
              <w:top w:w="80" w:type="dxa"/>
              <w:start w:w="120" w:type="dxa"/>
              <w:bottom w:w="80" w:type="dxa"/>
              <w:end w:w="120" w:type="dxa"/>
            </w:tcMar>
          </w:tcPr>
          <w:p>
            <w:pPr>
              <w:spacing w:before="0" w:after="20" w:line="252" w:lineRule="auto"/>
              <w:jc w:val="left"/>
            </w:pPr>
            <w:r>
              <w:rPr>
                <w:color w:val="1D2733"/>
                <w:sz w:val="16"/>
              </w:rPr>
              <w:t>Product / Engineering</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Day 75</w:t>
            </w:r>
          </w:p>
        </w:tc>
        <w:tc>
          <w:tcPr>
            <w:tcW w:type="dxa" w:w="2540"/>
            <w:vAlign w:val="center"/>
            <w:shd w:fill="FAFBFC"/>
            <w:tcMar>
              <w:top w:w="80" w:type="dxa"/>
              <w:start w:w="120" w:type="dxa"/>
              <w:bottom w:w="80" w:type="dxa"/>
              <w:end w:w="120" w:type="dxa"/>
            </w:tcMar>
          </w:tcPr>
          <w:p>
            <w:pPr>
              <w:spacing w:before="0" w:after="20" w:line="252" w:lineRule="auto"/>
              <w:jc w:val="left"/>
            </w:pPr>
            <w:r>
              <w:rPr>
                <w:color w:val="1D2733"/>
                <w:sz w:val="16"/>
              </w:rPr>
              <w:t>Production release, accessibility/security checks and analytics</w:t>
            </w:r>
          </w:p>
        </w:tc>
      </w:tr>
      <w:tr>
        <w:trPr>
          <w:cantSplit/>
        </w:trPr>
        <w:tc>
          <w:tcPr>
            <w:tcW w:type="dxa" w:w="500"/>
            <w:vAlign w:val="center"/>
            <w:tcMar>
              <w:top w:w="80" w:type="dxa"/>
              <w:start w:w="120" w:type="dxa"/>
              <w:bottom w:w="80" w:type="dxa"/>
              <w:end w:w="120" w:type="dxa"/>
            </w:tcMar>
          </w:tcPr>
          <w:p>
            <w:pPr>
              <w:spacing w:before="0" w:after="20" w:line="252" w:lineRule="auto"/>
              <w:jc w:val="left"/>
            </w:pPr>
            <w:r>
              <w:rPr>
                <w:color w:val="1D2733"/>
                <w:sz w:val="16"/>
              </w:rPr>
              <w:t>A11</w:t>
            </w:r>
          </w:p>
        </w:tc>
        <w:tc>
          <w:tcPr>
            <w:tcW w:type="dxa" w:w="3720"/>
            <w:vAlign w:val="center"/>
            <w:tcMar>
              <w:top w:w="80" w:type="dxa"/>
              <w:start w:w="120" w:type="dxa"/>
              <w:bottom w:w="80" w:type="dxa"/>
              <w:end w:w="120" w:type="dxa"/>
            </w:tcMar>
          </w:tcPr>
          <w:p>
            <w:pPr>
              <w:spacing w:before="0" w:after="20" w:line="252" w:lineRule="auto"/>
              <w:jc w:val="left"/>
            </w:pPr>
            <w:r>
              <w:rPr>
                <w:color w:val="1D2733"/>
                <w:sz w:val="16"/>
              </w:rPr>
              <w:t>Set up approved repositories, branch protection, CI checks, environments, artefact releases, issue and documentation standards</w:t>
            </w:r>
          </w:p>
        </w:tc>
        <w:tc>
          <w:tcPr>
            <w:tcW w:type="dxa" w:w="1800"/>
            <w:vAlign w:val="center"/>
            <w:tcMar>
              <w:top w:w="80" w:type="dxa"/>
              <w:start w:w="120" w:type="dxa"/>
              <w:bottom w:w="80" w:type="dxa"/>
              <w:end w:w="120" w:type="dxa"/>
            </w:tcMar>
          </w:tcPr>
          <w:p>
            <w:pPr>
              <w:spacing w:before="0" w:after="20" w:line="252" w:lineRule="auto"/>
              <w:jc w:val="left"/>
            </w:pPr>
            <w:r>
              <w:rPr>
                <w:color w:val="1D2733"/>
                <w:sz w:val="16"/>
              </w:rPr>
              <w:t>Engineering lead</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Day 30</w:t>
            </w:r>
          </w:p>
        </w:tc>
        <w:tc>
          <w:tcPr>
            <w:tcW w:type="dxa" w:w="2540"/>
            <w:vAlign w:val="center"/>
            <w:tcMar>
              <w:top w:w="80" w:type="dxa"/>
              <w:start w:w="120" w:type="dxa"/>
              <w:bottom w:w="80" w:type="dxa"/>
              <w:end w:w="120" w:type="dxa"/>
            </w:tcMar>
          </w:tcPr>
          <w:p>
            <w:pPr>
              <w:spacing w:before="0" w:after="20" w:line="252" w:lineRule="auto"/>
              <w:jc w:val="left"/>
            </w:pPr>
            <w:r>
              <w:rPr>
                <w:color w:val="1D2733"/>
                <w:sz w:val="16"/>
              </w:rPr>
              <w:t>Working pipeline and first controlled release</w:t>
            </w:r>
          </w:p>
        </w:tc>
      </w:tr>
      <w:tr>
        <w:trPr>
          <w:cantSplit/>
        </w:trPr>
        <w:tc>
          <w:tcPr>
            <w:tcW w:type="dxa" w:w="500"/>
            <w:vAlign w:val="center"/>
            <w:shd w:fill="FAFBFC"/>
            <w:tcMar>
              <w:top w:w="80" w:type="dxa"/>
              <w:start w:w="120" w:type="dxa"/>
              <w:bottom w:w="80" w:type="dxa"/>
              <w:end w:w="120" w:type="dxa"/>
            </w:tcMar>
          </w:tcPr>
          <w:p>
            <w:pPr>
              <w:spacing w:before="0" w:after="20" w:line="252" w:lineRule="auto"/>
              <w:jc w:val="left"/>
            </w:pPr>
            <w:r>
              <w:rPr>
                <w:color w:val="1D2733"/>
                <w:sz w:val="16"/>
              </w:rPr>
              <w:t>A12</w:t>
            </w:r>
          </w:p>
        </w:tc>
        <w:tc>
          <w:tcPr>
            <w:tcW w:type="dxa" w:w="3720"/>
            <w:vAlign w:val="center"/>
            <w:shd w:fill="FAFBFC"/>
            <w:tcMar>
              <w:top w:w="80" w:type="dxa"/>
              <w:start w:w="120" w:type="dxa"/>
              <w:bottom w:w="80" w:type="dxa"/>
              <w:end w:w="120" w:type="dxa"/>
            </w:tcMar>
          </w:tcPr>
          <w:p>
            <w:pPr>
              <w:spacing w:before="0" w:after="20" w:line="252" w:lineRule="auto"/>
              <w:jc w:val="left"/>
            </w:pPr>
            <w:r>
              <w:rPr>
                <w:color w:val="1D2733"/>
                <w:sz w:val="16"/>
              </w:rPr>
              <w:t>Implement separate staging/production databases, protected secrets, monitoring, backups and a recorded restore test</w:t>
            </w:r>
          </w:p>
        </w:tc>
        <w:tc>
          <w:tcPr>
            <w:tcW w:type="dxa" w:w="1800"/>
            <w:vAlign w:val="center"/>
            <w:shd w:fill="FAFBFC"/>
            <w:tcMar>
              <w:top w:w="80" w:type="dxa"/>
              <w:start w:w="120" w:type="dxa"/>
              <w:bottom w:w="80" w:type="dxa"/>
              <w:end w:w="120" w:type="dxa"/>
            </w:tcMar>
          </w:tcPr>
          <w:p>
            <w:pPr>
              <w:spacing w:before="0" w:after="20" w:line="252" w:lineRule="auto"/>
              <w:jc w:val="left"/>
            </w:pPr>
            <w:r>
              <w:rPr>
                <w:color w:val="1D2733"/>
                <w:sz w:val="16"/>
              </w:rPr>
              <w:t>Engineering / Service Ops</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Day 45</w:t>
            </w:r>
          </w:p>
        </w:tc>
        <w:tc>
          <w:tcPr>
            <w:tcW w:type="dxa" w:w="2540"/>
            <w:vAlign w:val="center"/>
            <w:shd w:fill="FAFBFC"/>
            <w:tcMar>
              <w:top w:w="80" w:type="dxa"/>
              <w:start w:w="120" w:type="dxa"/>
              <w:bottom w:w="80" w:type="dxa"/>
              <w:end w:w="120" w:type="dxa"/>
            </w:tcMar>
          </w:tcPr>
          <w:p>
            <w:pPr>
              <w:spacing w:before="0" w:after="20" w:line="252" w:lineRule="auto"/>
              <w:jc w:val="left"/>
            </w:pPr>
            <w:r>
              <w:rPr>
                <w:color w:val="1D2733"/>
                <w:sz w:val="16"/>
              </w:rPr>
              <w:t>Restore report and recovery runbook</w:t>
            </w:r>
          </w:p>
        </w:tc>
      </w:tr>
      <w:tr>
        <w:trPr>
          <w:cantSplit/>
        </w:trPr>
        <w:tc>
          <w:tcPr>
            <w:tcW w:type="dxa" w:w="500"/>
            <w:vAlign w:val="center"/>
            <w:tcMar>
              <w:top w:w="80" w:type="dxa"/>
              <w:start w:w="120" w:type="dxa"/>
              <w:bottom w:w="80" w:type="dxa"/>
              <w:end w:w="120" w:type="dxa"/>
            </w:tcMar>
          </w:tcPr>
          <w:p>
            <w:pPr>
              <w:spacing w:before="0" w:after="20" w:line="252" w:lineRule="auto"/>
              <w:jc w:val="left"/>
            </w:pPr>
            <w:r>
              <w:rPr>
                <w:color w:val="1D2733"/>
                <w:sz w:val="16"/>
              </w:rPr>
              <w:t>A13</w:t>
            </w:r>
          </w:p>
        </w:tc>
        <w:tc>
          <w:tcPr>
            <w:tcW w:type="dxa" w:w="3720"/>
            <w:vAlign w:val="center"/>
            <w:tcMar>
              <w:top w:w="80" w:type="dxa"/>
              <w:start w:w="120" w:type="dxa"/>
              <w:bottom w:w="80" w:type="dxa"/>
              <w:end w:w="120" w:type="dxa"/>
            </w:tcMar>
          </w:tcPr>
          <w:p>
            <w:pPr>
              <w:spacing w:before="0" w:after="20" w:line="252" w:lineRule="auto"/>
              <w:jc w:val="left"/>
            </w:pPr>
            <w:r>
              <w:rPr>
                <w:color w:val="1D2733"/>
                <w:sz w:val="16"/>
              </w:rPr>
              <w:t>Approve RME and Rihuum OS product charters, platform hierarchy, modular architecture, tenant/data model, contracts, ADRs and first thin-slice workflow</w:t>
            </w:r>
          </w:p>
        </w:tc>
        <w:tc>
          <w:tcPr>
            <w:tcW w:type="dxa" w:w="1800"/>
            <w:vAlign w:val="center"/>
            <w:tcMar>
              <w:top w:w="80" w:type="dxa"/>
              <w:start w:w="120" w:type="dxa"/>
              <w:bottom w:w="80" w:type="dxa"/>
              <w:end w:w="120" w:type="dxa"/>
            </w:tcMar>
          </w:tcPr>
          <w:p>
            <w:pPr>
              <w:spacing w:before="0" w:after="20" w:line="252" w:lineRule="auto"/>
              <w:jc w:val="center"/>
            </w:pPr>
            <w:r>
              <w:rPr>
                <w:color w:val="1D2733"/>
                <w:sz w:val="16"/>
              </w:rPr>
              <w:t>Product / CTO</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Day 35</w:t>
            </w:r>
          </w:p>
        </w:tc>
        <w:tc>
          <w:tcPr>
            <w:tcW w:type="dxa" w:w="2540"/>
            <w:vAlign w:val="center"/>
            <w:tcMar>
              <w:top w:w="80" w:type="dxa"/>
              <w:start w:w="120" w:type="dxa"/>
              <w:bottom w:w="80" w:type="dxa"/>
              <w:end w:w="120" w:type="dxa"/>
            </w:tcMar>
          </w:tcPr>
          <w:p>
            <w:pPr>
              <w:spacing w:before="0" w:after="20" w:line="252" w:lineRule="auto"/>
              <w:jc w:val="left"/>
            </w:pPr>
            <w:r>
              <w:rPr>
                <w:color w:val="1D2733"/>
                <w:sz w:val="16"/>
              </w:rPr>
              <w:t>Product briefs, diagrams, contracts, ADRs and accepted backlog</w:t>
            </w:r>
          </w:p>
        </w:tc>
      </w:tr>
      <w:tr>
        <w:trPr>
          <w:cantSplit/>
        </w:trPr>
        <w:tc>
          <w:tcPr>
            <w:tcW w:type="dxa" w:w="500"/>
            <w:vAlign w:val="center"/>
            <w:shd w:fill="FAFBFC"/>
            <w:tcMar>
              <w:top w:w="80" w:type="dxa"/>
              <w:start w:w="120" w:type="dxa"/>
              <w:bottom w:w="80" w:type="dxa"/>
              <w:end w:w="120" w:type="dxa"/>
            </w:tcMar>
          </w:tcPr>
          <w:p>
            <w:pPr>
              <w:spacing w:before="0" w:after="20" w:line="252" w:lineRule="auto"/>
              <w:jc w:val="left"/>
            </w:pPr>
            <w:r>
              <w:rPr>
                <w:color w:val="1D2733"/>
                <w:sz w:val="16"/>
              </w:rPr>
              <w:t>A14</w:t>
            </w:r>
          </w:p>
        </w:tc>
        <w:tc>
          <w:tcPr>
            <w:tcW w:type="dxa" w:w="3720"/>
            <w:vAlign w:val="center"/>
            <w:shd w:fill="FAFBFC"/>
            <w:tcMar>
              <w:top w:w="80" w:type="dxa"/>
              <w:start w:w="120" w:type="dxa"/>
              <w:bottom w:w="80" w:type="dxa"/>
              <w:end w:w="120" w:type="dxa"/>
            </w:tcMar>
          </w:tcPr>
          <w:p>
            <w:pPr>
              <w:spacing w:before="0" w:after="20" w:line="252" w:lineRule="auto"/>
              <w:jc w:val="left"/>
            </w:pPr>
            <w:r>
              <w:rPr>
                <w:color w:val="1D2733"/>
                <w:sz w:val="16"/>
              </w:rPr>
              <w:t>Deliver and govern RME 0.3 Configuration Centre and the Rihuum OS thin slice: identity, tenant, roles, policy, audit, manual provider assets and support.</w:t>
            </w:r>
          </w:p>
        </w:tc>
        <w:tc>
          <w:tcPr>
            <w:tcW w:type="dxa" w:w="1800"/>
            <w:vAlign w:val="center"/>
            <w:shd w:fill="FAFBFC"/>
            <w:tcMar>
              <w:top w:w="80" w:type="dxa"/>
              <w:start w:w="120" w:type="dxa"/>
              <w:bottom w:w="80" w:type="dxa"/>
              <w:end w:w="120" w:type="dxa"/>
            </w:tcMar>
          </w:tcPr>
          <w:p>
            <w:pPr>
              <w:spacing w:before="0" w:after="20" w:line="252" w:lineRule="auto"/>
              <w:jc w:val="center"/>
            </w:pPr>
            <w:r>
              <w:rPr>
                <w:color w:val="1D2733"/>
                <w:sz w:val="16"/>
              </w:rPr>
              <w:t>Engineering</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Day 80</w:t>
            </w:r>
          </w:p>
        </w:tc>
        <w:tc>
          <w:tcPr>
            <w:tcW w:type="dxa" w:w="2540"/>
            <w:vAlign w:val="center"/>
            <w:shd w:fill="FAFBFC"/>
            <w:tcMar>
              <w:top w:w="80" w:type="dxa"/>
              <w:start w:w="120" w:type="dxa"/>
              <w:bottom w:w="80" w:type="dxa"/>
              <w:end w:w="120" w:type="dxa"/>
            </w:tcMar>
          </w:tcPr>
          <w:p>
            <w:pPr>
              <w:spacing w:before="0" w:after="20" w:line="252" w:lineRule="auto"/>
              <w:jc w:val="left"/>
            </w:pPr>
            <w:r>
              <w:rPr>
                <w:color w:val="1D2733"/>
                <w:sz w:val="16"/>
              </w:rPr>
              <w:t>RME/OS controlled release, configuration schema, access review, test evidence, security review and operator documentation.</w:t>
            </w:r>
          </w:p>
        </w:tc>
      </w:tr>
      <w:tr>
        <w:trPr>
          <w:cantSplit/>
        </w:trPr>
        <w:tc>
          <w:tcPr>
            <w:tcW w:type="dxa" w:w="500"/>
            <w:vAlign w:val="center"/>
            <w:tcMar>
              <w:top w:w="80" w:type="dxa"/>
              <w:start w:w="120" w:type="dxa"/>
              <w:bottom w:w="80" w:type="dxa"/>
              <w:end w:w="120" w:type="dxa"/>
            </w:tcMar>
          </w:tcPr>
          <w:p>
            <w:pPr>
              <w:spacing w:before="0" w:after="20" w:line="252" w:lineRule="auto"/>
              <w:jc w:val="left"/>
            </w:pPr>
            <w:r>
              <w:rPr>
                <w:color w:val="1D2733"/>
                <w:sz w:val="16"/>
              </w:rPr>
              <w:t>A15</w:t>
            </w:r>
          </w:p>
        </w:tc>
        <w:tc>
          <w:tcPr>
            <w:tcW w:type="dxa" w:w="3720"/>
            <w:vAlign w:val="center"/>
            <w:tcMar>
              <w:top w:w="80" w:type="dxa"/>
              <w:start w:w="120" w:type="dxa"/>
              <w:bottom w:w="80" w:type="dxa"/>
              <w:end w:w="120" w:type="dxa"/>
            </w:tcMar>
          </w:tcPr>
          <w:p>
            <w:pPr>
              <w:spacing w:before="0" w:after="20" w:line="252" w:lineRule="auto"/>
              <w:jc w:val="left"/>
            </w:pPr>
            <w:r>
              <w:rPr>
                <w:color w:val="1D2733"/>
                <w:sz w:val="16"/>
              </w:rPr>
              <w:t>Approve RIA policy, AI use-case register, model gateway design, agent authority levels and evaluation template</w:t>
            </w:r>
          </w:p>
        </w:tc>
        <w:tc>
          <w:tcPr>
            <w:tcW w:type="dxa" w:w="1800"/>
            <w:vAlign w:val="center"/>
            <w:tcMar>
              <w:top w:w="80" w:type="dxa"/>
              <w:start w:w="120" w:type="dxa"/>
              <w:bottom w:w="80" w:type="dxa"/>
              <w:end w:w="120" w:type="dxa"/>
            </w:tcMar>
          </w:tcPr>
          <w:p>
            <w:pPr>
              <w:spacing w:before="0" w:after="20" w:line="252" w:lineRule="auto"/>
              <w:jc w:val="left"/>
            </w:pPr>
            <w:r>
              <w:rPr>
                <w:color w:val="1D2733"/>
                <w:sz w:val="16"/>
              </w:rPr>
              <w:t>AI/Data lead / Security</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Day 45</w:t>
            </w:r>
          </w:p>
        </w:tc>
        <w:tc>
          <w:tcPr>
            <w:tcW w:type="dxa" w:w="2540"/>
            <w:vAlign w:val="center"/>
            <w:tcMar>
              <w:top w:w="80" w:type="dxa"/>
              <w:start w:w="120" w:type="dxa"/>
              <w:bottom w:w="80" w:type="dxa"/>
              <w:end w:w="120" w:type="dxa"/>
            </w:tcMar>
          </w:tcPr>
          <w:p>
            <w:pPr>
              <w:spacing w:before="0" w:after="20" w:line="252" w:lineRule="auto"/>
              <w:jc w:val="left"/>
            </w:pPr>
            <w:r>
              <w:rPr>
                <w:color w:val="1D2733"/>
                <w:sz w:val="16"/>
              </w:rPr>
              <w:t>Approved AI governance pack</w:t>
            </w:r>
          </w:p>
        </w:tc>
      </w:tr>
      <w:tr>
        <w:trPr>
          <w:cantSplit/>
        </w:trPr>
        <w:tc>
          <w:tcPr>
            <w:tcW w:type="dxa" w:w="500"/>
            <w:vAlign w:val="center"/>
            <w:shd w:fill="FAFBFC"/>
            <w:tcMar>
              <w:top w:w="80" w:type="dxa"/>
              <w:start w:w="120" w:type="dxa"/>
              <w:bottom w:w="80" w:type="dxa"/>
              <w:end w:w="120" w:type="dxa"/>
            </w:tcMar>
          </w:tcPr>
          <w:p>
            <w:pPr>
              <w:spacing w:before="0" w:after="20" w:line="252" w:lineRule="auto"/>
              <w:jc w:val="left"/>
            </w:pPr>
            <w:r>
              <w:rPr>
                <w:color w:val="1D2733"/>
                <w:sz w:val="16"/>
              </w:rPr>
              <w:t>A16</w:t>
            </w:r>
          </w:p>
        </w:tc>
        <w:tc>
          <w:tcPr>
            <w:tcW w:type="dxa" w:w="3720"/>
            <w:vAlign w:val="center"/>
            <w:shd w:fill="FAFBFC"/>
            <w:tcMar>
              <w:top w:w="80" w:type="dxa"/>
              <w:start w:w="120" w:type="dxa"/>
              <w:bottom w:w="80" w:type="dxa"/>
              <w:end w:w="120" w:type="dxa"/>
            </w:tcMar>
          </w:tcPr>
          <w:p>
            <w:pPr>
              <w:spacing w:before="0" w:after="20" w:line="252" w:lineRule="auto"/>
              <w:jc w:val="left"/>
            </w:pPr>
            <w:r>
              <w:rPr>
                <w:color w:val="1D2733"/>
                <w:sz w:val="16"/>
              </w:rPr>
              <w:t>Deliver one bounded, source-grounded internal knowledge assistant without autonomous system changes</w:t>
            </w:r>
          </w:p>
        </w:tc>
        <w:tc>
          <w:tcPr>
            <w:tcW w:type="dxa" w:w="1800"/>
            <w:vAlign w:val="center"/>
            <w:shd w:fill="FAFBFC"/>
            <w:tcMar>
              <w:top w:w="80" w:type="dxa"/>
              <w:start w:w="120" w:type="dxa"/>
              <w:bottom w:w="80" w:type="dxa"/>
              <w:end w:w="120" w:type="dxa"/>
            </w:tcMar>
          </w:tcPr>
          <w:p>
            <w:pPr>
              <w:spacing w:before="0" w:after="20" w:line="252" w:lineRule="auto"/>
              <w:jc w:val="center"/>
            </w:pPr>
            <w:r>
              <w:rPr>
                <w:color w:val="1D2733"/>
                <w:sz w:val="16"/>
              </w:rPr>
              <w:t>AI/Product</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Day 75</w:t>
            </w:r>
          </w:p>
        </w:tc>
        <w:tc>
          <w:tcPr>
            <w:tcW w:type="dxa" w:w="2540"/>
            <w:vAlign w:val="center"/>
            <w:shd w:fill="FAFBFC"/>
            <w:tcMar>
              <w:top w:w="80" w:type="dxa"/>
              <w:start w:w="120" w:type="dxa"/>
              <w:bottom w:w="80" w:type="dxa"/>
              <w:end w:w="120" w:type="dxa"/>
            </w:tcMar>
          </w:tcPr>
          <w:p>
            <w:pPr>
              <w:spacing w:before="0" w:after="20" w:line="252" w:lineRule="auto"/>
              <w:jc w:val="left"/>
            </w:pPr>
            <w:r>
              <w:rPr>
                <w:color w:val="1D2733"/>
                <w:sz w:val="16"/>
              </w:rPr>
              <w:t>Evaluation, access, audit and pilot feedback</w:t>
            </w:r>
          </w:p>
        </w:tc>
      </w:tr>
      <w:tr>
        <w:trPr>
          <w:cantSplit/>
        </w:trPr>
        <w:tc>
          <w:tcPr>
            <w:tcW w:type="dxa" w:w="500"/>
            <w:vAlign w:val="center"/>
            <w:tcMar>
              <w:top w:w="80" w:type="dxa"/>
              <w:start w:w="120" w:type="dxa"/>
              <w:bottom w:w="80" w:type="dxa"/>
              <w:end w:w="120" w:type="dxa"/>
            </w:tcMar>
          </w:tcPr>
          <w:p>
            <w:pPr>
              <w:spacing w:before="0" w:after="20" w:line="252" w:lineRule="auto"/>
              <w:jc w:val="left"/>
            </w:pPr>
            <w:r>
              <w:rPr>
                <w:color w:val="1D2733"/>
                <w:sz w:val="16"/>
              </w:rPr>
              <w:t>A17</w:t>
            </w:r>
          </w:p>
        </w:tc>
        <w:tc>
          <w:tcPr>
            <w:tcW w:type="dxa" w:w="3720"/>
            <w:vAlign w:val="center"/>
            <w:tcMar>
              <w:top w:w="80" w:type="dxa"/>
              <w:start w:w="120" w:type="dxa"/>
              <w:bottom w:w="80" w:type="dxa"/>
              <w:end w:w="120" w:type="dxa"/>
            </w:tcMar>
          </w:tcPr>
          <w:p>
            <w:pPr>
              <w:spacing w:before="0" w:after="20" w:line="252" w:lineRule="auto"/>
              <w:jc w:val="left"/>
            </w:pPr>
            <w:r>
              <w:rPr>
                <w:color w:val="1D2733"/>
                <w:sz w:val="16"/>
              </w:rPr>
              <w:t>Implement CRM pipeline, proposal/SOW controls, onboarding, service desk and customer-success ownership</w:t>
            </w:r>
          </w:p>
        </w:tc>
        <w:tc>
          <w:tcPr>
            <w:tcW w:type="dxa" w:w="1800"/>
            <w:vAlign w:val="center"/>
            <w:tcMar>
              <w:top w:w="80" w:type="dxa"/>
              <w:start w:w="120" w:type="dxa"/>
              <w:bottom w:w="80" w:type="dxa"/>
              <w:end w:w="120" w:type="dxa"/>
            </w:tcMar>
          </w:tcPr>
          <w:p>
            <w:pPr>
              <w:spacing w:before="0" w:after="20" w:line="252" w:lineRule="auto"/>
              <w:jc w:val="left"/>
            </w:pPr>
            <w:r>
              <w:rPr>
                <w:color w:val="1D2733"/>
                <w:sz w:val="16"/>
              </w:rPr>
              <w:t>Commercial / Service Ops</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Day 60</w:t>
            </w:r>
          </w:p>
        </w:tc>
        <w:tc>
          <w:tcPr>
            <w:tcW w:type="dxa" w:w="2540"/>
            <w:vAlign w:val="center"/>
            <w:tcMar>
              <w:top w:w="80" w:type="dxa"/>
              <w:start w:w="120" w:type="dxa"/>
              <w:bottom w:w="80" w:type="dxa"/>
              <w:end w:w="120" w:type="dxa"/>
            </w:tcMar>
          </w:tcPr>
          <w:p>
            <w:pPr>
              <w:spacing w:before="0" w:after="20" w:line="252" w:lineRule="auto"/>
              <w:jc w:val="left"/>
            </w:pPr>
            <w:r>
              <w:rPr>
                <w:color w:val="1D2733"/>
                <w:sz w:val="16"/>
              </w:rPr>
              <w:t>One traceable prospect-to-support workflow</w:t>
            </w:r>
          </w:p>
        </w:tc>
      </w:tr>
      <w:tr>
        <w:trPr>
          <w:cantSplit/>
        </w:trPr>
        <w:tc>
          <w:tcPr>
            <w:tcW w:type="dxa" w:w="500"/>
            <w:vAlign w:val="center"/>
            <w:shd w:fill="FAFBFC"/>
            <w:tcMar>
              <w:top w:w="80" w:type="dxa"/>
              <w:start w:w="120" w:type="dxa"/>
              <w:bottom w:w="80" w:type="dxa"/>
              <w:end w:w="120" w:type="dxa"/>
            </w:tcMar>
          </w:tcPr>
          <w:p>
            <w:pPr>
              <w:spacing w:before="0" w:after="20" w:line="252" w:lineRule="auto"/>
              <w:jc w:val="left"/>
            </w:pPr>
            <w:r>
              <w:rPr>
                <w:color w:val="1D2733"/>
                <w:sz w:val="16"/>
              </w:rPr>
              <w:t>A18</w:t>
            </w:r>
          </w:p>
        </w:tc>
        <w:tc>
          <w:tcPr>
            <w:tcW w:type="dxa" w:w="3720"/>
            <w:vAlign w:val="center"/>
            <w:shd w:fill="FAFBFC"/>
            <w:tcMar>
              <w:top w:w="80" w:type="dxa"/>
              <w:start w:w="120" w:type="dxa"/>
              <w:bottom w:w="80" w:type="dxa"/>
              <w:end w:w="120" w:type="dxa"/>
            </w:tcMar>
          </w:tcPr>
          <w:p>
            <w:pPr>
              <w:spacing w:before="0" w:after="20" w:line="252" w:lineRule="auto"/>
              <w:jc w:val="left"/>
            </w:pPr>
            <w:r>
              <w:rPr>
                <w:color w:val="1D2733"/>
                <w:sz w:val="16"/>
              </w:rPr>
              <w:t>Select one ideal customer segment and recruit paid lighthouse pilot(s) using qualification and risk gates</w:t>
            </w:r>
          </w:p>
        </w:tc>
        <w:tc>
          <w:tcPr>
            <w:tcW w:type="dxa" w:w="1800"/>
            <w:vAlign w:val="center"/>
            <w:shd w:fill="FAFBFC"/>
            <w:tcMar>
              <w:top w:w="80" w:type="dxa"/>
              <w:start w:w="120" w:type="dxa"/>
              <w:bottom w:w="80" w:type="dxa"/>
              <w:end w:w="120" w:type="dxa"/>
            </w:tcMar>
          </w:tcPr>
          <w:p>
            <w:pPr>
              <w:spacing w:before="0" w:after="20" w:line="252" w:lineRule="auto"/>
              <w:jc w:val="left"/>
            </w:pPr>
            <w:r>
              <w:rPr>
                <w:color w:val="1D2733"/>
                <w:sz w:val="16"/>
              </w:rPr>
              <w:t>Commercial / Product</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Day 75</w:t>
            </w:r>
          </w:p>
        </w:tc>
        <w:tc>
          <w:tcPr>
            <w:tcW w:type="dxa" w:w="2540"/>
            <w:vAlign w:val="center"/>
            <w:shd w:fill="FAFBFC"/>
            <w:tcMar>
              <w:top w:w="80" w:type="dxa"/>
              <w:start w:w="120" w:type="dxa"/>
              <w:bottom w:w="80" w:type="dxa"/>
              <w:end w:w="120" w:type="dxa"/>
            </w:tcMar>
          </w:tcPr>
          <w:p>
            <w:pPr>
              <w:spacing w:before="0" w:after="20" w:line="252" w:lineRule="auto"/>
              <w:jc w:val="left"/>
            </w:pPr>
            <w:r>
              <w:rPr>
                <w:color w:val="1D2733"/>
                <w:sz w:val="16"/>
              </w:rPr>
              <w:t>Signed pilot, baseline, success metrics and delivery plan</w:t>
            </w:r>
          </w:p>
        </w:tc>
      </w:tr>
      <w:tr>
        <w:trPr>
          <w:cantSplit/>
        </w:trPr>
        <w:tc>
          <w:tcPr>
            <w:tcW w:type="dxa" w:w="500"/>
            <w:vAlign w:val="center"/>
            <w:tcMar>
              <w:top w:w="80" w:type="dxa"/>
              <w:start w:w="120" w:type="dxa"/>
              <w:bottom w:w="80" w:type="dxa"/>
              <w:end w:w="120" w:type="dxa"/>
            </w:tcMar>
          </w:tcPr>
          <w:p>
            <w:pPr>
              <w:spacing w:before="0" w:after="20" w:line="252" w:lineRule="auto"/>
              <w:jc w:val="left"/>
            </w:pPr>
            <w:r>
              <w:rPr>
                <w:color w:val="1D2733"/>
                <w:sz w:val="16"/>
              </w:rPr>
              <w:t>A19</w:t>
            </w:r>
          </w:p>
        </w:tc>
        <w:tc>
          <w:tcPr>
            <w:tcW w:type="dxa" w:w="3720"/>
            <w:vAlign w:val="center"/>
            <w:tcMar>
              <w:top w:w="80" w:type="dxa"/>
              <w:start w:w="120" w:type="dxa"/>
              <w:bottom w:w="80" w:type="dxa"/>
              <w:end w:w="120" w:type="dxa"/>
            </w:tcMar>
          </w:tcPr>
          <w:p>
            <w:pPr>
              <w:spacing w:before="0" w:after="20" w:line="252" w:lineRule="auto"/>
              <w:jc w:val="left"/>
            </w:pPr>
            <w:r>
              <w:rPr>
                <w:color w:val="1D2733"/>
                <w:sz w:val="16"/>
              </w:rPr>
              <w:t>Approve Academy programme architecture, learner policies, instructor/assessment standards and first cohort business case</w:t>
            </w:r>
          </w:p>
        </w:tc>
        <w:tc>
          <w:tcPr>
            <w:tcW w:type="dxa" w:w="1800"/>
            <w:vAlign w:val="center"/>
            <w:tcMar>
              <w:top w:w="80" w:type="dxa"/>
              <w:start w:w="120" w:type="dxa"/>
              <w:bottom w:w="80" w:type="dxa"/>
              <w:end w:w="120" w:type="dxa"/>
            </w:tcMar>
          </w:tcPr>
          <w:p>
            <w:pPr>
              <w:spacing w:before="0" w:after="20" w:line="252" w:lineRule="auto"/>
              <w:jc w:val="left"/>
            </w:pPr>
            <w:r>
              <w:rPr>
                <w:color w:val="1D2733"/>
                <w:sz w:val="16"/>
              </w:rPr>
              <w:t>Academy director</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Day 60</w:t>
            </w:r>
          </w:p>
        </w:tc>
        <w:tc>
          <w:tcPr>
            <w:tcW w:type="dxa" w:w="2540"/>
            <w:vAlign w:val="center"/>
            <w:tcMar>
              <w:top w:w="80" w:type="dxa"/>
              <w:start w:w="120" w:type="dxa"/>
              <w:bottom w:w="80" w:type="dxa"/>
              <w:end w:w="120" w:type="dxa"/>
            </w:tcMar>
          </w:tcPr>
          <w:p>
            <w:pPr>
              <w:spacing w:before="0" w:after="20" w:line="252" w:lineRule="auto"/>
              <w:jc w:val="left"/>
            </w:pPr>
            <w:r>
              <w:rPr>
                <w:color w:val="1D2733"/>
                <w:sz w:val="16"/>
              </w:rPr>
              <w:t>Programme pack, verified legal identity and launch decision</w:t>
            </w:r>
          </w:p>
        </w:tc>
      </w:tr>
      <w:tr>
        <w:trPr>
          <w:cantSplit/>
        </w:trPr>
        <w:tc>
          <w:tcPr>
            <w:tcW w:type="dxa" w:w="500"/>
            <w:vAlign w:val="center"/>
            <w:shd w:fill="FAFBFC"/>
            <w:tcMar>
              <w:top w:w="80" w:type="dxa"/>
              <w:start w:w="120" w:type="dxa"/>
              <w:bottom w:w="80" w:type="dxa"/>
              <w:end w:w="120" w:type="dxa"/>
            </w:tcMar>
          </w:tcPr>
          <w:p>
            <w:pPr>
              <w:spacing w:before="0" w:after="20" w:line="252" w:lineRule="auto"/>
              <w:jc w:val="left"/>
            </w:pPr>
            <w:r>
              <w:rPr>
                <w:color w:val="1D2733"/>
                <w:sz w:val="16"/>
              </w:rPr>
              <w:t>A20</w:t>
            </w:r>
          </w:p>
        </w:tc>
        <w:tc>
          <w:tcPr>
            <w:tcW w:type="dxa" w:w="3720"/>
            <w:vAlign w:val="center"/>
            <w:shd w:fill="FAFBFC"/>
            <w:tcMar>
              <w:top w:w="80" w:type="dxa"/>
              <w:start w:w="120" w:type="dxa"/>
              <w:bottom w:w="80" w:type="dxa"/>
              <w:end w:w="120" w:type="dxa"/>
            </w:tcMar>
          </w:tcPr>
          <w:p>
            <w:pPr>
              <w:spacing w:before="0" w:after="20" w:line="252" w:lineRule="auto"/>
              <w:jc w:val="left"/>
            </w:pPr>
            <w:r>
              <w:rPr>
                <w:color w:val="1D2733"/>
                <w:sz w:val="16"/>
              </w:rPr>
              <w:t>Baseline enterprise KPIs and submit 12-month operating plan, budget, prices and migration decision to the board</w:t>
            </w:r>
          </w:p>
        </w:tc>
        <w:tc>
          <w:tcPr>
            <w:tcW w:type="dxa" w:w="1800"/>
            <w:vAlign w:val="center"/>
            <w:shd w:fill="FAFBFC"/>
            <w:tcMar>
              <w:top w:w="80" w:type="dxa"/>
              <w:start w:w="120" w:type="dxa"/>
              <w:bottom w:w="80" w:type="dxa"/>
              <w:end w:w="120" w:type="dxa"/>
            </w:tcMar>
          </w:tcPr>
          <w:p>
            <w:pPr>
              <w:spacing w:before="0" w:after="20" w:line="252" w:lineRule="auto"/>
              <w:jc w:val="left"/>
            </w:pPr>
            <w:r>
              <w:rPr>
                <w:color w:val="1D2733"/>
                <w:sz w:val="16"/>
              </w:rPr>
              <w:t>CEO / Finance / PMO</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Day 90</w:t>
            </w:r>
          </w:p>
        </w:tc>
        <w:tc>
          <w:tcPr>
            <w:tcW w:type="dxa" w:w="2540"/>
            <w:vAlign w:val="center"/>
            <w:shd w:fill="FAFBFC"/>
            <w:tcMar>
              <w:top w:w="80" w:type="dxa"/>
              <w:start w:w="120" w:type="dxa"/>
              <w:bottom w:w="80" w:type="dxa"/>
              <w:end w:w="120" w:type="dxa"/>
            </w:tcMar>
          </w:tcPr>
          <w:p>
            <w:pPr>
              <w:spacing w:before="0" w:after="20" w:line="252" w:lineRule="auto"/>
              <w:jc w:val="left"/>
            </w:pPr>
            <w:r>
              <w:rPr>
                <w:color w:val="1D2733"/>
                <w:sz w:val="16"/>
              </w:rPr>
              <w:t>Reconciled scorecard and board-approved annual plan</w:t>
            </w:r>
          </w:p>
        </w:tc>
      </w:tr>
    </w:tbl>
    <w:p>
      <w:bookmarkStart w:id="38" w:name="appb"/>
      <w:pPr>
        <w:pStyle w:val="Heading1"/>
      </w:pPr>
      <w:r>
        <w:t>APPENDIX B | Governance and RACI Matrix</w:t>
      </w:r>
      <w:bookmarkEnd w:id="38"/>
    </w:p>
    <w:p>
      <w:pPr>
        <w:pStyle w:val="SmallNote"/>
      </w:pPr>
      <w:r>
        <w:t>R = Responsible (does the work); A = Accountable (one final owner); C = Consulted; I = Informed. Role names may be held by one person during the lean stage, but accountability must remain explicit.</w:t>
      </w:r>
    </w:p>
    <w:p>
      <w:pPr>
        <w:pStyle w:val="Caption"/>
      </w:pPr>
      <w:r>
        <w:t>Table 55. Enterprise decision RACI</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400"/>
        <w:gridCol w:w="720"/>
        <w:gridCol w:w="720"/>
        <w:gridCol w:w="960"/>
        <w:gridCol w:w="960"/>
        <w:gridCol w:w="1160"/>
        <w:gridCol w:w="800"/>
        <w:gridCol w:w="820"/>
        <w:gridCol w:w="820"/>
      </w:tblGrid>
      <w:tr>
        <w:trPr>
          <w:tblHeader w:val="true"/>
          <w:cantSplit/>
        </w:trPr>
        <w:tc>
          <w:tcPr>
            <w:tcW w:type="dxa" w:w="2400"/>
            <w:vAlign w:val="center"/>
            <w:shd w:fill="F2F4F7"/>
            <w:tcMar>
              <w:top w:w="80" w:type="dxa"/>
              <w:start w:w="120" w:type="dxa"/>
              <w:bottom w:w="80" w:type="dxa"/>
              <w:end w:w="120" w:type="dxa"/>
            </w:tcMar>
          </w:tcPr>
          <w:p>
            <w:pPr>
              <w:spacing w:before="0" w:after="0"/>
              <w:jc w:val="left"/>
            </w:pPr>
            <w:r>
              <w:rPr>
                <w:b/>
                <w:color w:val="102A43"/>
                <w:sz w:val="17"/>
              </w:rPr>
              <w:t>Decision/activity</w:t>
            </w:r>
          </w:p>
        </w:tc>
        <w:tc>
          <w:tcPr>
            <w:tcW w:type="dxa" w:w="720"/>
            <w:vAlign w:val="center"/>
            <w:shd w:fill="F2F4F7"/>
            <w:tcMar>
              <w:top w:w="80" w:type="dxa"/>
              <w:start w:w="120" w:type="dxa"/>
              <w:bottom w:w="80" w:type="dxa"/>
              <w:end w:w="120" w:type="dxa"/>
            </w:tcMar>
          </w:tcPr>
          <w:p>
            <w:pPr>
              <w:spacing w:before="0" w:after="0"/>
              <w:jc w:val="center"/>
            </w:pPr>
            <w:r>
              <w:rPr>
                <w:b/>
                <w:color w:val="102A43"/>
                <w:sz w:val="17"/>
              </w:rPr>
              <w:t>Board</w:t>
            </w:r>
          </w:p>
        </w:tc>
        <w:tc>
          <w:tcPr>
            <w:tcW w:type="dxa" w:w="720"/>
            <w:vAlign w:val="center"/>
            <w:shd w:fill="F2F4F7"/>
            <w:tcMar>
              <w:top w:w="80" w:type="dxa"/>
              <w:start w:w="120" w:type="dxa"/>
              <w:bottom w:w="80" w:type="dxa"/>
              <w:end w:w="120" w:type="dxa"/>
            </w:tcMar>
          </w:tcPr>
          <w:p>
            <w:pPr>
              <w:spacing w:before="0" w:after="0"/>
              <w:jc w:val="center"/>
            </w:pPr>
            <w:r>
              <w:rPr>
                <w:b/>
                <w:color w:val="102A43"/>
                <w:sz w:val="17"/>
              </w:rPr>
              <w:t>CEO</w:t>
            </w:r>
          </w:p>
        </w:tc>
        <w:tc>
          <w:tcPr>
            <w:tcW w:type="dxa" w:w="960"/>
            <w:vAlign w:val="center"/>
            <w:shd w:fill="F2F4F7"/>
            <w:tcMar>
              <w:top w:w="80" w:type="dxa"/>
              <w:start w:w="120" w:type="dxa"/>
              <w:bottom w:w="80" w:type="dxa"/>
              <w:end w:w="120" w:type="dxa"/>
            </w:tcMar>
          </w:tcPr>
          <w:p>
            <w:pPr>
              <w:spacing w:before="0" w:after="0"/>
              <w:jc w:val="center"/>
            </w:pPr>
            <w:r>
              <w:rPr>
                <w:b/>
                <w:color w:val="102A43"/>
                <w:sz w:val="17"/>
              </w:rPr>
              <w:t>Product</w:t>
            </w:r>
          </w:p>
        </w:tc>
        <w:tc>
          <w:tcPr>
            <w:tcW w:type="dxa" w:w="960"/>
            <w:vAlign w:val="center"/>
            <w:shd w:fill="F2F4F7"/>
            <w:tcMar>
              <w:top w:w="80" w:type="dxa"/>
              <w:start w:w="120" w:type="dxa"/>
              <w:bottom w:w="80" w:type="dxa"/>
              <w:end w:w="120" w:type="dxa"/>
            </w:tcMar>
          </w:tcPr>
          <w:p>
            <w:pPr>
              <w:spacing w:before="0" w:after="0"/>
              <w:jc w:val="center"/>
            </w:pPr>
            <w:r>
              <w:rPr>
                <w:b/>
                <w:color w:val="102A43"/>
                <w:sz w:val="17"/>
              </w:rPr>
              <w:t>CTO/Eng</w:t>
            </w:r>
          </w:p>
        </w:tc>
        <w:tc>
          <w:tcPr>
            <w:tcW w:type="dxa" w:w="1160"/>
            <w:vAlign w:val="center"/>
            <w:shd w:fill="F2F4F7"/>
            <w:tcMar>
              <w:top w:w="80" w:type="dxa"/>
              <w:start w:w="120" w:type="dxa"/>
              <w:bottom w:w="80" w:type="dxa"/>
              <w:end w:w="120" w:type="dxa"/>
            </w:tcMar>
          </w:tcPr>
          <w:p>
            <w:pPr>
              <w:spacing w:before="0" w:after="0"/>
              <w:jc w:val="left"/>
            </w:pPr>
            <w:r>
              <w:rPr>
                <w:b/>
                <w:color w:val="102A43"/>
                <w:sz w:val="17"/>
              </w:rPr>
              <w:t>Security/Privacy</w:t>
            </w:r>
          </w:p>
        </w:tc>
        <w:tc>
          <w:tcPr>
            <w:tcW w:type="dxa" w:w="800"/>
            <w:vAlign w:val="center"/>
            <w:shd w:fill="F2F4F7"/>
            <w:tcMar>
              <w:top w:w="80" w:type="dxa"/>
              <w:start w:w="120" w:type="dxa"/>
              <w:bottom w:w="80" w:type="dxa"/>
              <w:end w:w="120" w:type="dxa"/>
            </w:tcMar>
          </w:tcPr>
          <w:p>
            <w:pPr>
              <w:spacing w:before="0" w:after="0"/>
              <w:jc w:val="center"/>
            </w:pPr>
            <w:r>
              <w:rPr>
                <w:b/>
                <w:color w:val="102A43"/>
                <w:sz w:val="17"/>
              </w:rPr>
              <w:t>Finance</w:t>
            </w:r>
          </w:p>
        </w:tc>
        <w:tc>
          <w:tcPr>
            <w:tcW w:type="dxa" w:w="820"/>
            <w:vAlign w:val="center"/>
            <w:shd w:fill="F2F4F7"/>
            <w:tcMar>
              <w:top w:w="80" w:type="dxa"/>
              <w:start w:w="120" w:type="dxa"/>
              <w:bottom w:w="80" w:type="dxa"/>
              <w:end w:w="120" w:type="dxa"/>
            </w:tcMar>
          </w:tcPr>
          <w:p>
            <w:pPr>
              <w:spacing w:before="0" w:after="0"/>
              <w:jc w:val="center"/>
            </w:pPr>
            <w:r>
              <w:rPr>
                <w:b/>
                <w:color w:val="102A43"/>
                <w:sz w:val="17"/>
              </w:rPr>
              <w:t>Commercial</w:t>
            </w:r>
          </w:p>
        </w:tc>
        <w:tc>
          <w:tcPr>
            <w:tcW w:type="dxa" w:w="820"/>
            <w:vAlign w:val="center"/>
            <w:shd w:fill="F2F4F7"/>
            <w:tcMar>
              <w:top w:w="80" w:type="dxa"/>
              <w:start w:w="120" w:type="dxa"/>
              <w:bottom w:w="80" w:type="dxa"/>
              <w:end w:w="120" w:type="dxa"/>
            </w:tcMar>
          </w:tcPr>
          <w:p>
            <w:pPr>
              <w:spacing w:before="0" w:after="0"/>
              <w:jc w:val="center"/>
            </w:pPr>
            <w:r>
              <w:rPr>
                <w:b/>
                <w:color w:val="102A43"/>
                <w:sz w:val="17"/>
              </w:rPr>
              <w:t>Service Ops</w:t>
            </w:r>
          </w:p>
        </w:tc>
      </w:tr>
      <w:tr>
        <w:trPr>
          <w:cantSplit/>
        </w:trPr>
        <w:tc>
          <w:tcPr>
            <w:tcW w:type="dxa" w:w="2400"/>
            <w:vAlign w:val="center"/>
            <w:tcMar>
              <w:top w:w="80" w:type="dxa"/>
              <w:start w:w="120" w:type="dxa"/>
              <w:bottom w:w="80" w:type="dxa"/>
              <w:end w:w="120" w:type="dxa"/>
            </w:tcMar>
          </w:tcPr>
          <w:p>
            <w:pPr>
              <w:spacing w:before="0" w:after="20" w:line="252" w:lineRule="auto"/>
              <w:jc w:val="left"/>
            </w:pPr>
            <w:r>
              <w:rPr>
                <w:color w:val="1D2733"/>
                <w:sz w:val="16"/>
              </w:rPr>
              <w:t>Strategy and risk appetite</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A</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R</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11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I</w:t>
            </w:r>
          </w:p>
        </w:tc>
      </w:tr>
      <w:tr>
        <w:trPr>
          <w:cantSplit/>
        </w:trPr>
        <w:tc>
          <w:tcPr>
            <w:tcW w:type="dxa" w:w="2400"/>
            <w:vAlign w:val="center"/>
            <w:shd w:fill="FAFBFC"/>
            <w:tcMar>
              <w:top w:w="80" w:type="dxa"/>
              <w:start w:w="120" w:type="dxa"/>
              <w:bottom w:w="80" w:type="dxa"/>
              <w:end w:w="120" w:type="dxa"/>
            </w:tcMar>
          </w:tcPr>
          <w:p>
            <w:pPr>
              <w:spacing w:before="0" w:after="20" w:line="252" w:lineRule="auto"/>
              <w:jc w:val="left"/>
            </w:pPr>
            <w:r>
              <w:rPr>
                <w:color w:val="1D2733"/>
                <w:sz w:val="16"/>
              </w:rPr>
              <w:t>Annual portfolio and budget</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A</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R</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116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R</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I</w:t>
            </w:r>
          </w:p>
        </w:tc>
      </w:tr>
      <w:tr>
        <w:trPr>
          <w:cantSplit/>
        </w:trPr>
        <w:tc>
          <w:tcPr>
            <w:tcW w:type="dxa" w:w="2400"/>
            <w:vAlign w:val="center"/>
            <w:tcMar>
              <w:top w:w="80" w:type="dxa"/>
              <w:start w:w="120" w:type="dxa"/>
              <w:bottom w:w="80" w:type="dxa"/>
              <w:end w:w="120" w:type="dxa"/>
            </w:tcMar>
          </w:tcPr>
          <w:p>
            <w:pPr>
              <w:spacing w:before="0" w:after="20" w:line="252" w:lineRule="auto"/>
              <w:jc w:val="left"/>
            </w:pPr>
            <w:r>
              <w:rPr>
                <w:color w:val="1D2733"/>
                <w:sz w:val="16"/>
              </w:rPr>
              <w:t>Product discovery/roadmap</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I</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A</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R</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11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C</w:t>
            </w:r>
          </w:p>
        </w:tc>
      </w:tr>
      <w:tr>
        <w:trPr>
          <w:cantSplit/>
        </w:trPr>
        <w:tc>
          <w:tcPr>
            <w:tcW w:type="dxa" w:w="2400"/>
            <w:vAlign w:val="center"/>
            <w:shd w:fill="FAFBFC"/>
            <w:tcMar>
              <w:top w:w="80" w:type="dxa"/>
              <w:start w:w="120" w:type="dxa"/>
              <w:bottom w:w="80" w:type="dxa"/>
              <w:end w:w="120" w:type="dxa"/>
            </w:tcMar>
          </w:tcPr>
          <w:p>
            <w:pPr>
              <w:spacing w:before="0" w:after="20" w:line="252" w:lineRule="auto"/>
              <w:jc w:val="left"/>
            </w:pPr>
            <w:r>
              <w:rPr>
                <w:color w:val="1D2733"/>
                <w:sz w:val="16"/>
              </w:rPr>
              <w:t>Architecture/technology standard</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I</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A/R</w:t>
            </w:r>
          </w:p>
        </w:tc>
        <w:tc>
          <w:tcPr>
            <w:tcW w:type="dxa" w:w="116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I</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I</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C</w:t>
            </w:r>
          </w:p>
        </w:tc>
      </w:tr>
      <w:tr>
        <w:trPr>
          <w:cantSplit/>
        </w:trPr>
        <w:tc>
          <w:tcPr>
            <w:tcW w:type="dxa" w:w="2400"/>
            <w:vAlign w:val="center"/>
            <w:tcMar>
              <w:top w:w="80" w:type="dxa"/>
              <w:start w:w="120" w:type="dxa"/>
              <w:bottom w:w="80" w:type="dxa"/>
              <w:end w:w="120" w:type="dxa"/>
            </w:tcMar>
          </w:tcPr>
          <w:p>
            <w:pPr>
              <w:spacing w:before="0" w:after="20" w:line="252" w:lineRule="auto"/>
              <w:jc w:val="left"/>
            </w:pPr>
            <w:r>
              <w:rPr>
                <w:color w:val="1D2733"/>
                <w:sz w:val="16"/>
              </w:rPr>
              <w:t>Security/privacy risk</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I</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R</w:t>
            </w:r>
          </w:p>
        </w:tc>
        <w:tc>
          <w:tcPr>
            <w:tcW w:type="dxa" w:w="1160"/>
            <w:vAlign w:val="center"/>
            <w:tcMar>
              <w:top w:w="80" w:type="dxa"/>
              <w:start w:w="120" w:type="dxa"/>
              <w:bottom w:w="80" w:type="dxa"/>
              <w:end w:w="120" w:type="dxa"/>
            </w:tcMar>
          </w:tcPr>
          <w:p>
            <w:pPr>
              <w:spacing w:before="0" w:after="20" w:line="252" w:lineRule="auto"/>
              <w:jc w:val="center"/>
            </w:pPr>
            <w:r>
              <w:rPr>
                <w:color w:val="1D2733"/>
                <w:sz w:val="16"/>
              </w:rPr>
              <w:t>A/R</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I</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I</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C</w:t>
            </w:r>
          </w:p>
        </w:tc>
      </w:tr>
      <w:tr>
        <w:trPr>
          <w:cantSplit/>
        </w:trPr>
        <w:tc>
          <w:tcPr>
            <w:tcW w:type="dxa" w:w="2400"/>
            <w:vAlign w:val="center"/>
            <w:shd w:fill="FAFBFC"/>
            <w:tcMar>
              <w:top w:w="80" w:type="dxa"/>
              <w:start w:w="120" w:type="dxa"/>
              <w:bottom w:w="80" w:type="dxa"/>
              <w:end w:w="120" w:type="dxa"/>
            </w:tcMar>
          </w:tcPr>
          <w:p>
            <w:pPr>
              <w:spacing w:before="0" w:after="20" w:line="252" w:lineRule="auto"/>
              <w:jc w:val="left"/>
            </w:pPr>
            <w:r>
              <w:rPr>
                <w:color w:val="1D2733"/>
                <w:sz w:val="16"/>
              </w:rPr>
              <w:t>AI/Agentic authority</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I/A*</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A</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R</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R</w:t>
            </w:r>
          </w:p>
        </w:tc>
        <w:tc>
          <w:tcPr>
            <w:tcW w:type="dxa" w:w="1160"/>
            <w:vAlign w:val="center"/>
            <w:shd w:fill="FAFBFC"/>
            <w:tcMar>
              <w:top w:w="80" w:type="dxa"/>
              <w:start w:w="120" w:type="dxa"/>
              <w:bottom w:w="80" w:type="dxa"/>
              <w:end w:w="120" w:type="dxa"/>
            </w:tcMar>
          </w:tcPr>
          <w:p>
            <w:pPr>
              <w:spacing w:before="0" w:after="20" w:line="252" w:lineRule="auto"/>
              <w:jc w:val="center"/>
            </w:pPr>
            <w:r>
              <w:rPr>
                <w:color w:val="1D2733"/>
                <w:sz w:val="16"/>
              </w:rPr>
              <w:t>R</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I</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C</w:t>
            </w:r>
          </w:p>
        </w:tc>
      </w:tr>
      <w:tr>
        <w:trPr>
          <w:cantSplit/>
        </w:trPr>
        <w:tc>
          <w:tcPr>
            <w:tcW w:type="dxa" w:w="2400"/>
            <w:vAlign w:val="center"/>
            <w:tcMar>
              <w:top w:w="80" w:type="dxa"/>
              <w:start w:w="120" w:type="dxa"/>
              <w:bottom w:w="80" w:type="dxa"/>
              <w:end w:w="120" w:type="dxa"/>
            </w:tcMar>
          </w:tcPr>
          <w:p>
            <w:pPr>
              <w:spacing w:before="0" w:after="20" w:line="252" w:lineRule="auto"/>
              <w:jc w:val="left"/>
            </w:pPr>
            <w:r>
              <w:rPr>
                <w:color w:val="1D2733"/>
                <w:sz w:val="16"/>
              </w:rPr>
              <w:t>Price and packaging</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I</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A</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R</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11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R</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R</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C</w:t>
            </w:r>
          </w:p>
        </w:tc>
      </w:tr>
      <w:tr>
        <w:trPr>
          <w:cantSplit/>
        </w:trPr>
        <w:tc>
          <w:tcPr>
            <w:tcW w:type="dxa" w:w="2400"/>
            <w:vAlign w:val="center"/>
            <w:shd w:fill="FAFBFC"/>
            <w:tcMar>
              <w:top w:w="80" w:type="dxa"/>
              <w:start w:w="120" w:type="dxa"/>
              <w:bottom w:w="80" w:type="dxa"/>
              <w:end w:w="120" w:type="dxa"/>
            </w:tcMar>
          </w:tcPr>
          <w:p>
            <w:pPr>
              <w:spacing w:before="0" w:after="20" w:line="252" w:lineRule="auto"/>
              <w:jc w:val="left"/>
            </w:pPr>
            <w:r>
              <w:rPr>
                <w:color w:val="1D2733"/>
                <w:sz w:val="16"/>
              </w:rPr>
              <w:t>Client contract/deviation</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I</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A</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116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C/R</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R</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C</w:t>
            </w:r>
          </w:p>
        </w:tc>
      </w:tr>
      <w:tr>
        <w:trPr>
          <w:cantSplit/>
        </w:trPr>
        <w:tc>
          <w:tcPr>
            <w:tcW w:type="dxa" w:w="2400"/>
            <w:vAlign w:val="center"/>
            <w:tcMar>
              <w:top w:w="80" w:type="dxa"/>
              <w:start w:w="120" w:type="dxa"/>
              <w:bottom w:w="80" w:type="dxa"/>
              <w:end w:w="120" w:type="dxa"/>
            </w:tcMar>
          </w:tcPr>
          <w:p>
            <w:pPr>
              <w:spacing w:before="0" w:after="20" w:line="252" w:lineRule="auto"/>
              <w:jc w:val="left"/>
            </w:pPr>
            <w:r>
              <w:rPr>
                <w:color w:val="1D2733"/>
                <w:sz w:val="16"/>
              </w:rPr>
              <w:t>Production release</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I</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I</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A</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R</w:t>
            </w:r>
          </w:p>
        </w:tc>
        <w:tc>
          <w:tcPr>
            <w:tcW w:type="dxa" w:w="11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I</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I</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C</w:t>
            </w:r>
          </w:p>
        </w:tc>
      </w:tr>
      <w:tr>
        <w:trPr>
          <w:cantSplit/>
        </w:trPr>
        <w:tc>
          <w:tcPr>
            <w:tcW w:type="dxa" w:w="2400"/>
            <w:vAlign w:val="center"/>
            <w:shd w:fill="FAFBFC"/>
            <w:tcMar>
              <w:top w:w="80" w:type="dxa"/>
              <w:start w:w="120" w:type="dxa"/>
              <w:bottom w:w="80" w:type="dxa"/>
              <w:end w:w="120" w:type="dxa"/>
            </w:tcMar>
          </w:tcPr>
          <w:p>
            <w:pPr>
              <w:spacing w:before="0" w:after="20" w:line="252" w:lineRule="auto"/>
              <w:jc w:val="left"/>
            </w:pPr>
            <w:r>
              <w:rPr>
                <w:color w:val="1D2733"/>
                <w:sz w:val="16"/>
              </w:rPr>
              <w:t>Major incident</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I</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A</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I</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R</w:t>
            </w:r>
          </w:p>
        </w:tc>
        <w:tc>
          <w:tcPr>
            <w:tcW w:type="dxa" w:w="1160"/>
            <w:vAlign w:val="center"/>
            <w:shd w:fill="FAFBFC"/>
            <w:tcMar>
              <w:top w:w="80" w:type="dxa"/>
              <w:start w:w="120" w:type="dxa"/>
              <w:bottom w:w="80" w:type="dxa"/>
              <w:end w:w="120" w:type="dxa"/>
            </w:tcMar>
          </w:tcPr>
          <w:p>
            <w:pPr>
              <w:spacing w:before="0" w:after="20" w:line="252" w:lineRule="auto"/>
              <w:jc w:val="center"/>
            </w:pPr>
            <w:r>
              <w:rPr>
                <w:color w:val="1D2733"/>
                <w:sz w:val="16"/>
              </w:rPr>
              <w:t>R</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R</w:t>
            </w:r>
          </w:p>
        </w:tc>
      </w:tr>
      <w:tr>
        <w:trPr>
          <w:cantSplit/>
        </w:trPr>
        <w:tc>
          <w:tcPr>
            <w:tcW w:type="dxa" w:w="2400"/>
            <w:vAlign w:val="center"/>
            <w:tcMar>
              <w:top w:w="80" w:type="dxa"/>
              <w:start w:w="120" w:type="dxa"/>
              <w:bottom w:w="80" w:type="dxa"/>
              <w:end w:w="120" w:type="dxa"/>
            </w:tcMar>
          </w:tcPr>
          <w:p>
            <w:pPr>
              <w:spacing w:before="0" w:after="20" w:line="252" w:lineRule="auto"/>
              <w:jc w:val="left"/>
            </w:pPr>
            <w:r>
              <w:rPr>
                <w:color w:val="1D2733"/>
                <w:sz w:val="16"/>
              </w:rPr>
              <w:t>Country/regulated market entry</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A</w:t>
            </w:r>
          </w:p>
        </w:tc>
        <w:tc>
          <w:tcPr>
            <w:tcW w:type="dxa" w:w="720"/>
            <w:vAlign w:val="center"/>
            <w:tcMar>
              <w:top w:w="80" w:type="dxa"/>
              <w:start w:w="120" w:type="dxa"/>
              <w:bottom w:w="80" w:type="dxa"/>
              <w:end w:w="120" w:type="dxa"/>
            </w:tcMar>
          </w:tcPr>
          <w:p>
            <w:pPr>
              <w:spacing w:before="0" w:after="20" w:line="252" w:lineRule="auto"/>
              <w:jc w:val="center"/>
            </w:pPr>
            <w:r>
              <w:rPr>
                <w:color w:val="1D2733"/>
                <w:sz w:val="16"/>
              </w:rPr>
              <w:t>R</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9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116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800"/>
            <w:vAlign w:val="center"/>
            <w:tcMar>
              <w:top w:w="80" w:type="dxa"/>
              <w:start w:w="120" w:type="dxa"/>
              <w:bottom w:w="80" w:type="dxa"/>
              <w:end w:w="120" w:type="dxa"/>
            </w:tcMar>
          </w:tcPr>
          <w:p>
            <w:pPr>
              <w:spacing w:before="0" w:after="20" w:line="252" w:lineRule="auto"/>
              <w:jc w:val="center"/>
            </w:pPr>
            <w:r>
              <w:rPr>
                <w:color w:val="1D2733"/>
                <w:sz w:val="16"/>
              </w:rPr>
              <w:t>C</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R</w:t>
            </w:r>
          </w:p>
        </w:tc>
        <w:tc>
          <w:tcPr>
            <w:tcW w:type="dxa" w:w="820"/>
            <w:vAlign w:val="center"/>
            <w:tcMar>
              <w:top w:w="80" w:type="dxa"/>
              <w:start w:w="120" w:type="dxa"/>
              <w:bottom w:w="80" w:type="dxa"/>
              <w:end w:w="120" w:type="dxa"/>
            </w:tcMar>
          </w:tcPr>
          <w:p>
            <w:pPr>
              <w:spacing w:before="0" w:after="20" w:line="252" w:lineRule="auto"/>
              <w:jc w:val="center"/>
            </w:pPr>
            <w:r>
              <w:rPr>
                <w:color w:val="1D2733"/>
                <w:sz w:val="16"/>
              </w:rPr>
              <w:t>C</w:t>
            </w:r>
          </w:p>
        </w:tc>
      </w:tr>
      <w:tr>
        <w:trPr>
          <w:cantSplit/>
        </w:trPr>
        <w:tc>
          <w:tcPr>
            <w:tcW w:type="dxa" w:w="2400"/>
            <w:vAlign w:val="center"/>
            <w:shd w:fill="FAFBFC"/>
            <w:tcMar>
              <w:top w:w="80" w:type="dxa"/>
              <w:start w:w="120" w:type="dxa"/>
              <w:bottom w:w="80" w:type="dxa"/>
              <w:end w:w="120" w:type="dxa"/>
            </w:tcMar>
          </w:tcPr>
          <w:p>
            <w:pPr>
              <w:spacing w:before="0" w:after="20" w:line="252" w:lineRule="auto"/>
              <w:jc w:val="left"/>
            </w:pPr>
            <w:r>
              <w:rPr>
                <w:color w:val="1D2733"/>
                <w:sz w:val="16"/>
              </w:rPr>
              <w:t>Product sunset</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I/A*</w:t>
            </w:r>
          </w:p>
        </w:tc>
        <w:tc>
          <w:tcPr>
            <w:tcW w:type="dxa" w:w="720"/>
            <w:vAlign w:val="center"/>
            <w:shd w:fill="FAFBFC"/>
            <w:tcMar>
              <w:top w:w="80" w:type="dxa"/>
              <w:start w:w="120" w:type="dxa"/>
              <w:bottom w:w="80" w:type="dxa"/>
              <w:end w:w="120" w:type="dxa"/>
            </w:tcMar>
          </w:tcPr>
          <w:p>
            <w:pPr>
              <w:spacing w:before="0" w:after="20" w:line="252" w:lineRule="auto"/>
              <w:jc w:val="center"/>
            </w:pPr>
            <w:r>
              <w:rPr>
                <w:color w:val="1D2733"/>
                <w:sz w:val="16"/>
              </w:rPr>
              <w:t>A</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R</w:t>
            </w:r>
          </w:p>
        </w:tc>
        <w:tc>
          <w:tcPr>
            <w:tcW w:type="dxa" w:w="96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116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80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C</w:t>
            </w:r>
          </w:p>
        </w:tc>
        <w:tc>
          <w:tcPr>
            <w:tcW w:type="dxa" w:w="820"/>
            <w:vAlign w:val="center"/>
            <w:shd w:fill="FAFBFC"/>
            <w:tcMar>
              <w:top w:w="80" w:type="dxa"/>
              <w:start w:w="120" w:type="dxa"/>
              <w:bottom w:w="80" w:type="dxa"/>
              <w:end w:w="120" w:type="dxa"/>
            </w:tcMar>
          </w:tcPr>
          <w:p>
            <w:pPr>
              <w:spacing w:before="0" w:after="20" w:line="252" w:lineRule="auto"/>
              <w:jc w:val="center"/>
            </w:pPr>
            <w:r>
              <w:rPr>
                <w:color w:val="1D2733"/>
                <w:sz w:val="16"/>
              </w:rPr>
              <w:t>R</w:t>
            </w:r>
          </w:p>
        </w:tc>
      </w:tr>
    </w:tbl>
    <w:p>
      <w:pPr>
        <w:pStyle w:val="SmallNote"/>
        <w:spacing w:before="80" w:after="120"/>
      </w:pPr>
      <w:r>
        <w:t>*Board accountability applies when the decision exceeds delegated authority, risk appetite, material capital or major client/market commitment.</w:t>
      </w:r>
    </w:p>
    <w:p>
      <w:pPr>
        <w:pStyle w:val="Heading2"/>
      </w:pPr>
      <w:r>
        <w:t>Reserved board matters - proposed</w:t>
      </w:r>
    </w:p>
    <w:p>
      <w:pPr>
        <w:pStyle w:val="ListBullet"/>
        <w:keepLines/>
      </w:pPr>
      <w:r>
        <w:t>Strategy, annual budget and capital/funding transactions outside delegated limits.</w:t>
      </w:r>
    </w:p>
    <w:p>
      <w:pPr>
        <w:pStyle w:val="ListBullet"/>
        <w:keepLines/>
      </w:pPr>
      <w:r>
        <w:t>New country, regulated business, acquisition/disposal, major joint venture or material IP transfer.</w:t>
      </w:r>
    </w:p>
    <w:p>
      <w:pPr>
        <w:pStyle w:val="ListBullet"/>
        <w:keepLines/>
      </w:pPr>
      <w:r>
        <w:t>Risk appetite, major unresolved breach/incident, material litigation and public regulatory commitment.</w:t>
      </w:r>
    </w:p>
    <w:p>
      <w:pPr>
        <w:pStyle w:val="ListBullet"/>
        <w:keepLines/>
      </w:pPr>
      <w:r>
        <w:t>Appointment/removal and remuneration of senior executives, significant borrowing/security and related-party transactions.</w:t>
      </w:r>
    </w:p>
    <w:p>
      <w:pPr>
        <w:pStyle w:val="ListBullet"/>
        <w:keepLines/>
      </w:pPr>
      <w:r>
        <w:t>Material product/platform discontinuation or change that threatens contractual continuity or reputation.</w:t>
      </w:r>
    </w:p>
    <w:p>
      <w:bookmarkStart w:id="39" w:name="appc"/>
      <w:pPr>
        <w:pStyle w:val="Heading1"/>
      </w:pPr>
      <w:r>
        <w:t>APPENDIX C | Architecture Principles and Decision Standards</w:t>
      </w:r>
      <w:bookmarkEnd w:id="39"/>
    </w:p>
    <w:p>
      <w:pPr>
        <w:pStyle w:val="Caption"/>
      </w:pPr>
      <w:r>
        <w:t>Table 56. Architecture principles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700"/>
        <w:gridCol w:w="6660"/>
      </w:tblGrid>
      <w:tr>
        <w:trPr>
          <w:tblHeader w:val="true"/>
          <w:cantSplit/>
        </w:trPr>
        <w:tc>
          <w:tcPr>
            <w:tcW w:type="dxa" w:w="2700"/>
            <w:vAlign w:val="center"/>
            <w:shd w:fill="F2F4F7"/>
            <w:tcMar>
              <w:top w:w="80" w:type="dxa"/>
              <w:start w:w="120" w:type="dxa"/>
              <w:bottom w:w="80" w:type="dxa"/>
              <w:end w:w="120" w:type="dxa"/>
            </w:tcMar>
          </w:tcPr>
          <w:p>
            <w:pPr>
              <w:spacing w:before="0" w:after="0"/>
              <w:jc w:val="center"/>
            </w:pPr>
            <w:r>
              <w:rPr>
                <w:b/>
                <w:color w:val="102A43"/>
                <w:sz w:val="18"/>
              </w:rPr>
              <w:t>Principle</w:t>
            </w:r>
          </w:p>
        </w:tc>
        <w:tc>
          <w:tcPr>
            <w:tcW w:type="dxa" w:w="6660"/>
            <w:vAlign w:val="center"/>
            <w:shd w:fill="F2F4F7"/>
            <w:tcMar>
              <w:top w:w="80" w:type="dxa"/>
              <w:start w:w="120" w:type="dxa"/>
              <w:bottom w:w="80" w:type="dxa"/>
              <w:end w:w="120" w:type="dxa"/>
            </w:tcMar>
          </w:tcPr>
          <w:p>
            <w:pPr>
              <w:spacing w:before="0" w:after="0"/>
              <w:jc w:val="center"/>
            </w:pPr>
            <w:r>
              <w:rPr>
                <w:b/>
                <w:color w:val="102A43"/>
                <w:sz w:val="18"/>
              </w:rPr>
              <w:t>Decision test</w:t>
            </w:r>
          </w:p>
        </w:tc>
      </w:tr>
      <w:tr>
        <w:trPr>
          <w:cantSplit/>
        </w:trPr>
        <w:tc>
          <w:tcPr>
            <w:tcW w:type="dxa" w:w="2700"/>
            <w:vAlign w:val="center"/>
            <w:tcMar>
              <w:top w:w="80" w:type="dxa"/>
              <w:start w:w="120" w:type="dxa"/>
              <w:bottom w:w="80" w:type="dxa"/>
              <w:end w:w="120" w:type="dxa"/>
            </w:tcMar>
          </w:tcPr>
          <w:p>
            <w:pPr>
              <w:spacing w:before="0" w:after="20" w:line="252" w:lineRule="auto"/>
              <w:jc w:val="left"/>
            </w:pPr>
            <w:r>
              <w:rPr>
                <w:color w:val="1D2733"/>
                <w:sz w:val="17"/>
              </w:rPr>
              <w:t>Business outcome first</w:t>
            </w:r>
          </w:p>
        </w:tc>
        <w:tc>
          <w:tcPr>
            <w:tcW w:type="dxa" w:w="6660"/>
            <w:vAlign w:val="center"/>
            <w:tcMar>
              <w:top w:w="80" w:type="dxa"/>
              <w:start w:w="120" w:type="dxa"/>
              <w:bottom w:w="80" w:type="dxa"/>
              <w:end w:w="120" w:type="dxa"/>
            </w:tcMar>
          </w:tcPr>
          <w:p>
            <w:pPr>
              <w:spacing w:before="0" w:after="20" w:line="252" w:lineRule="auto"/>
              <w:jc w:val="left"/>
            </w:pPr>
            <w:r>
              <w:rPr>
                <w:color w:val="1D2733"/>
                <w:sz w:val="17"/>
              </w:rPr>
              <w:t>Which user/business outcome and metric justify this component or complexity?</w:t>
            </w:r>
          </w:p>
        </w:tc>
      </w:tr>
      <w:tr>
        <w:trPr>
          <w:cantSplit/>
        </w:trPr>
        <w:tc>
          <w:tcPr>
            <w:tcW w:type="dxa" w:w="2700"/>
            <w:vAlign w:val="center"/>
            <w:shd w:fill="FAFBFC"/>
            <w:tcMar>
              <w:top w:w="80" w:type="dxa"/>
              <w:start w:w="120" w:type="dxa"/>
              <w:bottom w:w="80" w:type="dxa"/>
              <w:end w:w="120" w:type="dxa"/>
            </w:tcMar>
          </w:tcPr>
          <w:p>
            <w:pPr>
              <w:spacing w:before="0" w:after="20" w:line="252" w:lineRule="auto"/>
              <w:jc w:val="left"/>
            </w:pPr>
            <w:r>
              <w:rPr>
                <w:color w:val="1D2733"/>
                <w:sz w:val="17"/>
              </w:rPr>
              <w:t>Modular monolith first</w:t>
            </w:r>
          </w:p>
        </w:tc>
        <w:tc>
          <w:tcPr>
            <w:tcW w:type="dxa" w:w="6660"/>
            <w:vAlign w:val="center"/>
            <w:shd w:fill="FAFBFC"/>
            <w:tcMar>
              <w:top w:w="80" w:type="dxa"/>
              <w:start w:w="120" w:type="dxa"/>
              <w:bottom w:w="80" w:type="dxa"/>
              <w:end w:w="120" w:type="dxa"/>
            </w:tcMar>
          </w:tcPr>
          <w:p>
            <w:pPr>
              <w:spacing w:before="0" w:after="20" w:line="252" w:lineRule="auto"/>
              <w:jc w:val="left"/>
            </w:pPr>
            <w:r>
              <w:rPr>
                <w:color w:val="1D2733"/>
                <w:sz w:val="17"/>
              </w:rPr>
              <w:t>Can a clean module boundary solve the problem before a distributed service?</w:t>
            </w:r>
          </w:p>
        </w:tc>
      </w:tr>
      <w:tr>
        <w:trPr>
          <w:cantSplit/>
        </w:trPr>
        <w:tc>
          <w:tcPr>
            <w:tcW w:type="dxa" w:w="2700"/>
            <w:vAlign w:val="center"/>
            <w:tcMar>
              <w:top w:w="80" w:type="dxa"/>
              <w:start w:w="120" w:type="dxa"/>
              <w:bottom w:w="80" w:type="dxa"/>
              <w:end w:w="120" w:type="dxa"/>
            </w:tcMar>
          </w:tcPr>
          <w:p>
            <w:pPr>
              <w:spacing w:before="0" w:after="20" w:line="252" w:lineRule="auto"/>
              <w:jc w:val="left"/>
            </w:pPr>
            <w:r>
              <w:rPr>
                <w:color w:val="1D2733"/>
                <w:sz w:val="17"/>
              </w:rPr>
              <w:t>Secure/private default</w:t>
            </w:r>
          </w:p>
        </w:tc>
        <w:tc>
          <w:tcPr>
            <w:tcW w:type="dxa" w:w="6660"/>
            <w:vAlign w:val="center"/>
            <w:tcMar>
              <w:top w:w="80" w:type="dxa"/>
              <w:start w:w="120" w:type="dxa"/>
              <w:bottom w:w="80" w:type="dxa"/>
              <w:end w:w="120" w:type="dxa"/>
            </w:tcMar>
          </w:tcPr>
          <w:p>
            <w:pPr>
              <w:spacing w:before="0" w:after="20" w:line="252" w:lineRule="auto"/>
              <w:jc w:val="left"/>
            </w:pPr>
            <w:r>
              <w:rPr>
                <w:color w:val="1D2733"/>
                <w:sz w:val="17"/>
              </w:rPr>
              <w:t>Is the safest reasonable configuration enabled without expert client action?</w:t>
            </w:r>
          </w:p>
        </w:tc>
      </w:tr>
      <w:tr>
        <w:trPr>
          <w:cantSplit/>
        </w:trPr>
        <w:tc>
          <w:tcPr>
            <w:tcW w:type="dxa" w:w="2700"/>
            <w:vAlign w:val="center"/>
            <w:shd w:fill="FAFBFC"/>
            <w:tcMar>
              <w:top w:w="80" w:type="dxa"/>
              <w:start w:w="120" w:type="dxa"/>
              <w:bottom w:w="80" w:type="dxa"/>
              <w:end w:w="120" w:type="dxa"/>
            </w:tcMar>
          </w:tcPr>
          <w:p>
            <w:pPr>
              <w:spacing w:before="0" w:after="20" w:line="252" w:lineRule="auto"/>
              <w:jc w:val="left"/>
            </w:pPr>
            <w:r>
              <w:rPr>
                <w:color w:val="1D2733"/>
                <w:sz w:val="17"/>
              </w:rPr>
              <w:t>Least privilege and explicit trust</w:t>
            </w:r>
          </w:p>
        </w:tc>
        <w:tc>
          <w:tcPr>
            <w:tcW w:type="dxa" w:w="6660"/>
            <w:vAlign w:val="center"/>
            <w:shd w:fill="FAFBFC"/>
            <w:tcMar>
              <w:top w:w="80" w:type="dxa"/>
              <w:start w:w="120" w:type="dxa"/>
              <w:bottom w:w="80" w:type="dxa"/>
              <w:end w:w="120" w:type="dxa"/>
            </w:tcMar>
          </w:tcPr>
          <w:p>
            <w:pPr>
              <w:spacing w:before="0" w:after="20" w:line="252" w:lineRule="auto"/>
              <w:jc w:val="left"/>
            </w:pPr>
            <w:r>
              <w:rPr>
                <w:color w:val="1D2733"/>
                <w:sz w:val="17"/>
              </w:rPr>
              <w:t>Which identity needs which action, data and duration, and how is it verified/audited?</w:t>
            </w:r>
          </w:p>
        </w:tc>
      </w:tr>
      <w:tr>
        <w:trPr>
          <w:cantSplit/>
        </w:trPr>
        <w:tc>
          <w:tcPr>
            <w:tcW w:type="dxa" w:w="2700"/>
            <w:vAlign w:val="center"/>
            <w:tcMar>
              <w:top w:w="80" w:type="dxa"/>
              <w:start w:w="120" w:type="dxa"/>
              <w:bottom w:w="80" w:type="dxa"/>
              <w:end w:w="120" w:type="dxa"/>
            </w:tcMar>
          </w:tcPr>
          <w:p>
            <w:pPr>
              <w:spacing w:before="0" w:after="20" w:line="252" w:lineRule="auto"/>
              <w:jc w:val="left"/>
            </w:pPr>
            <w:r>
              <w:rPr>
                <w:color w:val="1D2733"/>
                <w:sz w:val="17"/>
              </w:rPr>
              <w:t>Tenant isolation</w:t>
            </w:r>
          </w:p>
        </w:tc>
        <w:tc>
          <w:tcPr>
            <w:tcW w:type="dxa" w:w="6660"/>
            <w:vAlign w:val="center"/>
            <w:tcMar>
              <w:top w:w="80" w:type="dxa"/>
              <w:start w:w="120" w:type="dxa"/>
              <w:bottom w:w="80" w:type="dxa"/>
              <w:end w:w="120" w:type="dxa"/>
            </w:tcMar>
          </w:tcPr>
          <w:p>
            <w:pPr>
              <w:spacing w:before="0" w:after="20" w:line="252" w:lineRule="auto"/>
              <w:jc w:val="left"/>
            </w:pPr>
            <w:r>
              <w:rPr>
                <w:color w:val="1D2733"/>
                <w:sz w:val="17"/>
              </w:rPr>
              <w:t>Can any code, query, file, cache, job, log or AI context cross an organisation boundary?</w:t>
            </w:r>
          </w:p>
        </w:tc>
      </w:tr>
      <w:tr>
        <w:trPr>
          <w:cantSplit/>
        </w:trPr>
        <w:tc>
          <w:tcPr>
            <w:tcW w:type="dxa" w:w="2700"/>
            <w:vAlign w:val="center"/>
            <w:shd w:fill="FAFBFC"/>
            <w:tcMar>
              <w:top w:w="80" w:type="dxa"/>
              <w:start w:w="120" w:type="dxa"/>
              <w:bottom w:w="80" w:type="dxa"/>
              <w:end w:w="120" w:type="dxa"/>
            </w:tcMar>
          </w:tcPr>
          <w:p>
            <w:pPr>
              <w:spacing w:before="0" w:after="20" w:line="252" w:lineRule="auto"/>
              <w:jc w:val="left"/>
            </w:pPr>
            <w:r>
              <w:rPr>
                <w:color w:val="1D2733"/>
                <w:sz w:val="17"/>
              </w:rPr>
              <w:t>Portable interfaces</w:t>
            </w:r>
          </w:p>
        </w:tc>
        <w:tc>
          <w:tcPr>
            <w:tcW w:type="dxa" w:w="6660"/>
            <w:vAlign w:val="center"/>
            <w:shd w:fill="FAFBFC"/>
            <w:tcMar>
              <w:top w:w="80" w:type="dxa"/>
              <w:start w:w="120" w:type="dxa"/>
              <w:bottom w:w="80" w:type="dxa"/>
              <w:end w:w="120" w:type="dxa"/>
            </w:tcMar>
          </w:tcPr>
          <w:p>
            <w:pPr>
              <w:spacing w:before="0" w:after="20" w:line="252" w:lineRule="auto"/>
              <w:jc w:val="left"/>
            </w:pPr>
            <w:r>
              <w:rPr>
                <w:color w:val="1D2733"/>
                <w:sz w:val="17"/>
              </w:rPr>
              <w:t>Can storage, provider, host or model change through an adapter/configuration rather than product rewrite?</w:t>
            </w:r>
          </w:p>
        </w:tc>
      </w:tr>
      <w:tr>
        <w:trPr>
          <w:cantSplit/>
        </w:trPr>
        <w:tc>
          <w:tcPr>
            <w:tcW w:type="dxa" w:w="2700"/>
            <w:vAlign w:val="center"/>
            <w:tcMar>
              <w:top w:w="80" w:type="dxa"/>
              <w:start w:w="120" w:type="dxa"/>
              <w:bottom w:w="80" w:type="dxa"/>
              <w:end w:w="120" w:type="dxa"/>
            </w:tcMar>
          </w:tcPr>
          <w:p>
            <w:pPr>
              <w:spacing w:before="0" w:after="20" w:line="252" w:lineRule="auto"/>
              <w:jc w:val="left"/>
            </w:pPr>
            <w:r>
              <w:rPr>
                <w:color w:val="1D2733"/>
                <w:sz w:val="17"/>
              </w:rPr>
              <w:t>Backward-compatible evolution</w:t>
            </w:r>
          </w:p>
        </w:tc>
        <w:tc>
          <w:tcPr>
            <w:tcW w:type="dxa" w:w="6660"/>
            <w:vAlign w:val="center"/>
            <w:tcMar>
              <w:top w:w="80" w:type="dxa"/>
              <w:start w:w="120" w:type="dxa"/>
              <w:bottom w:w="80" w:type="dxa"/>
              <w:end w:w="120" w:type="dxa"/>
            </w:tcMar>
          </w:tcPr>
          <w:p>
            <w:pPr>
              <w:spacing w:before="0" w:after="20" w:line="252" w:lineRule="auto"/>
              <w:jc w:val="left"/>
            </w:pPr>
            <w:r>
              <w:rPr>
                <w:color w:val="1D2733"/>
                <w:sz w:val="17"/>
              </w:rPr>
              <w:t>Can the system expand, migrate, switch and contract without unsafe big-bang change?</w:t>
            </w:r>
          </w:p>
        </w:tc>
      </w:tr>
      <w:tr>
        <w:trPr>
          <w:cantSplit/>
        </w:trPr>
        <w:tc>
          <w:tcPr>
            <w:tcW w:type="dxa" w:w="2700"/>
            <w:vAlign w:val="center"/>
            <w:shd w:fill="FAFBFC"/>
            <w:tcMar>
              <w:top w:w="80" w:type="dxa"/>
              <w:start w:w="120" w:type="dxa"/>
              <w:bottom w:w="80" w:type="dxa"/>
              <w:end w:w="120" w:type="dxa"/>
            </w:tcMar>
          </w:tcPr>
          <w:p>
            <w:pPr>
              <w:spacing w:before="0" w:after="20" w:line="252" w:lineRule="auto"/>
              <w:jc w:val="left"/>
            </w:pPr>
            <w:r>
              <w:rPr>
                <w:color w:val="1D2733"/>
                <w:sz w:val="17"/>
              </w:rPr>
              <w:t>Observable and operable</w:t>
            </w:r>
          </w:p>
        </w:tc>
        <w:tc>
          <w:tcPr>
            <w:tcW w:type="dxa" w:w="6660"/>
            <w:vAlign w:val="center"/>
            <w:shd w:fill="FAFBFC"/>
            <w:tcMar>
              <w:top w:w="80" w:type="dxa"/>
              <w:start w:w="120" w:type="dxa"/>
              <w:bottom w:w="80" w:type="dxa"/>
              <w:end w:w="120" w:type="dxa"/>
            </w:tcMar>
          </w:tcPr>
          <w:p>
            <w:pPr>
              <w:spacing w:before="0" w:after="20" w:line="252" w:lineRule="auto"/>
              <w:jc w:val="left"/>
            </w:pPr>
            <w:r>
              <w:rPr>
                <w:color w:val="1D2733"/>
                <w:sz w:val="17"/>
              </w:rPr>
              <w:t>Can operators detect, diagnose, support, restore and explain the component?</w:t>
            </w:r>
          </w:p>
        </w:tc>
      </w:tr>
      <w:tr>
        <w:trPr>
          <w:cantSplit/>
        </w:trPr>
        <w:tc>
          <w:tcPr>
            <w:tcW w:type="dxa" w:w="2700"/>
            <w:vAlign w:val="center"/>
            <w:tcMar>
              <w:top w:w="80" w:type="dxa"/>
              <w:start w:w="120" w:type="dxa"/>
              <w:bottom w:w="80" w:type="dxa"/>
              <w:end w:w="120" w:type="dxa"/>
            </w:tcMar>
          </w:tcPr>
          <w:p>
            <w:pPr>
              <w:spacing w:before="0" w:after="20" w:line="252" w:lineRule="auto"/>
              <w:jc w:val="left"/>
            </w:pPr>
            <w:r>
              <w:rPr>
                <w:color w:val="1D2733"/>
                <w:sz w:val="17"/>
              </w:rPr>
              <w:t>Accessible/responsive</w:t>
            </w:r>
          </w:p>
        </w:tc>
        <w:tc>
          <w:tcPr>
            <w:tcW w:type="dxa" w:w="6660"/>
            <w:vAlign w:val="center"/>
            <w:tcMar>
              <w:top w:w="80" w:type="dxa"/>
              <w:start w:w="120" w:type="dxa"/>
              <w:bottom w:w="80" w:type="dxa"/>
              <w:end w:w="120" w:type="dxa"/>
            </w:tcMar>
          </w:tcPr>
          <w:p>
            <w:pPr>
              <w:spacing w:before="0" w:after="20" w:line="252" w:lineRule="auto"/>
              <w:jc w:val="left"/>
            </w:pPr>
            <w:r>
              <w:rPr>
                <w:color w:val="1D2733"/>
                <w:sz w:val="17"/>
              </w:rPr>
              <w:t>Does the primary journey work across relevant screens, keyboard and assistive technologies?</w:t>
            </w:r>
          </w:p>
        </w:tc>
      </w:tr>
      <w:tr>
        <w:trPr>
          <w:cantSplit/>
        </w:trPr>
        <w:tc>
          <w:tcPr>
            <w:tcW w:type="dxa" w:w="2700"/>
            <w:vAlign w:val="center"/>
            <w:shd w:fill="FAFBFC"/>
            <w:tcMar>
              <w:top w:w="80" w:type="dxa"/>
              <w:start w:w="120" w:type="dxa"/>
              <w:bottom w:w="80" w:type="dxa"/>
              <w:end w:w="120" w:type="dxa"/>
            </w:tcMar>
          </w:tcPr>
          <w:p>
            <w:pPr>
              <w:spacing w:before="0" w:after="20" w:line="252" w:lineRule="auto"/>
              <w:jc w:val="left"/>
            </w:pPr>
            <w:r>
              <w:rPr>
                <w:color w:val="1D2733"/>
                <w:sz w:val="17"/>
              </w:rPr>
              <w:t>Data minimisation and lifecycle</w:t>
            </w:r>
          </w:p>
        </w:tc>
        <w:tc>
          <w:tcPr>
            <w:tcW w:type="dxa" w:w="6660"/>
            <w:vAlign w:val="center"/>
            <w:shd w:fill="FAFBFC"/>
            <w:tcMar>
              <w:top w:w="80" w:type="dxa"/>
              <w:start w:w="120" w:type="dxa"/>
              <w:bottom w:w="80" w:type="dxa"/>
              <w:end w:w="120" w:type="dxa"/>
            </w:tcMar>
          </w:tcPr>
          <w:p>
            <w:pPr>
              <w:spacing w:before="0" w:after="20" w:line="252" w:lineRule="auto"/>
              <w:jc w:val="left"/>
            </w:pPr>
            <w:r>
              <w:rPr>
                <w:color w:val="1D2733"/>
                <w:sz w:val="17"/>
              </w:rPr>
              <w:t>Why is each field/event retained, who owns it and how is it corrected/exported/deleted?</w:t>
            </w:r>
          </w:p>
        </w:tc>
      </w:tr>
      <w:tr>
        <w:trPr>
          <w:cantSplit/>
        </w:trPr>
        <w:tc>
          <w:tcPr>
            <w:tcW w:type="dxa" w:w="2700"/>
            <w:vAlign w:val="center"/>
            <w:tcMar>
              <w:top w:w="80" w:type="dxa"/>
              <w:start w:w="120" w:type="dxa"/>
              <w:bottom w:w="80" w:type="dxa"/>
              <w:end w:w="120" w:type="dxa"/>
            </w:tcMar>
          </w:tcPr>
          <w:p>
            <w:pPr>
              <w:spacing w:before="0" w:after="20" w:line="252" w:lineRule="auto"/>
              <w:jc w:val="left"/>
            </w:pPr>
            <w:r>
              <w:rPr>
                <w:color w:val="1D2733"/>
                <w:sz w:val="17"/>
              </w:rPr>
              <w:t>Governed intelligence</w:t>
            </w:r>
          </w:p>
        </w:tc>
        <w:tc>
          <w:tcPr>
            <w:tcW w:type="dxa" w:w="6660"/>
            <w:vAlign w:val="center"/>
            <w:tcMar>
              <w:top w:w="80" w:type="dxa"/>
              <w:start w:w="120" w:type="dxa"/>
              <w:bottom w:w="80" w:type="dxa"/>
              <w:end w:w="120" w:type="dxa"/>
            </w:tcMar>
          </w:tcPr>
          <w:p>
            <w:pPr>
              <w:spacing w:before="0" w:after="20" w:line="252" w:lineRule="auto"/>
              <w:jc w:val="left"/>
            </w:pPr>
            <w:r>
              <w:rPr>
                <w:color w:val="1D2733"/>
                <w:sz w:val="17"/>
              </w:rPr>
              <w:t>Are model, knowledge, memory, tool, authority, evaluation and human accountability explicit?</w:t>
            </w:r>
          </w:p>
        </w:tc>
      </w:tr>
      <w:tr>
        <w:trPr>
          <w:cantSplit/>
        </w:trPr>
        <w:tc>
          <w:tcPr>
            <w:tcW w:type="dxa" w:w="2700"/>
            <w:vAlign w:val="center"/>
            <w:shd w:fill="FAFBFC"/>
            <w:tcMar>
              <w:top w:w="80" w:type="dxa"/>
              <w:start w:w="120" w:type="dxa"/>
              <w:bottom w:w="80" w:type="dxa"/>
              <w:end w:w="120" w:type="dxa"/>
            </w:tcMar>
          </w:tcPr>
          <w:p>
            <w:pPr>
              <w:spacing w:before="0" w:after="20" w:line="252" w:lineRule="auto"/>
              <w:jc w:val="left"/>
            </w:pPr>
            <w:r>
              <w:rPr>
                <w:color w:val="1D2733"/>
                <w:sz w:val="17"/>
              </w:rPr>
              <w:t>Buy/build/partner discipline</w:t>
            </w:r>
          </w:p>
        </w:tc>
        <w:tc>
          <w:tcPr>
            <w:tcW w:type="dxa" w:w="6660"/>
            <w:vAlign w:val="center"/>
            <w:shd w:fill="FAFBFC"/>
            <w:tcMar>
              <w:top w:w="80" w:type="dxa"/>
              <w:start w:w="120" w:type="dxa"/>
              <w:bottom w:w="80" w:type="dxa"/>
              <w:end w:w="120" w:type="dxa"/>
            </w:tcMar>
          </w:tcPr>
          <w:p>
            <w:pPr>
              <w:spacing w:before="0" w:after="20" w:line="252" w:lineRule="auto"/>
              <w:jc w:val="left"/>
            </w:pPr>
            <w:r>
              <w:rPr>
                <w:color w:val="1D2733"/>
                <w:sz w:val="17"/>
              </w:rPr>
              <w:t>Is this capability differentiating, and are total lifecycle cost and exit options understood?</w:t>
            </w:r>
          </w:p>
        </w:tc>
      </w:tr>
    </w:tbl>
    <w:p>
      <w:pPr>
        <w:pStyle w:val="Heading2"/>
      </w:pPr>
      <w:r>
        <w:t>Architecture Decision Record template</w:t>
      </w:r>
    </w:p>
    <w:p>
      <w:pPr>
        <w:pStyle w:val="ListBullet"/>
        <w:keepLines/>
      </w:pPr>
      <w:r>
        <w:t>Title, identifier, status, date, owner and reviewers.</w:t>
      </w:r>
    </w:p>
    <w:p>
      <w:pPr>
        <w:pStyle w:val="ListBullet"/>
        <w:keepLines/>
      </w:pPr>
      <w:r>
        <w:t>Context, decision drivers, constraints and measurable quality attributes.</w:t>
      </w:r>
    </w:p>
    <w:p>
      <w:pPr>
        <w:pStyle w:val="ListBullet"/>
        <w:keepLines/>
      </w:pPr>
      <w:r>
        <w:t>Options considered, including do nothing/buy/partner, with security, privacy, cost and operations.</w:t>
      </w:r>
    </w:p>
    <w:p>
      <w:pPr>
        <w:pStyle w:val="ListBullet"/>
        <w:keepLines/>
      </w:pPr>
      <w:r>
        <w:t>Decision and rationale; consequences, trade-offs and risks.</w:t>
      </w:r>
    </w:p>
    <w:p>
      <w:pPr>
        <w:pStyle w:val="ListBullet"/>
        <w:keepLines/>
      </w:pPr>
      <w:r>
        <w:t>Implementation/migration/rollback; monitoring and review trigger.</w:t>
      </w:r>
    </w:p>
    <w:p>
      <w:pPr>
        <w:pStyle w:val="ListBullet"/>
        <w:keepLines/>
      </w:pPr>
      <w:r>
        <w:t>Linked threat model, DPIA, product requirement, release and superseding ADR.</w:t>
      </w:r>
    </w:p>
    <w:p>
      <w:bookmarkStart w:id="40" w:name="appd"/>
      <w:pPr>
        <w:pStyle w:val="Heading1"/>
      </w:pPr>
      <w:r>
        <w:t>APPENDIX D | Policy, Process, and Documentation Register</w:t>
      </w:r>
      <w:bookmarkEnd w:id="40"/>
    </w:p>
    <w:p>
      <w:pPr>
        <w:pStyle w:val="Caption"/>
      </w:pPr>
      <w:r>
        <w:t>Table 57. Minimum controlled-document roadmap</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4560"/>
        <w:gridCol w:w="1920"/>
        <w:gridCol w:w="1200"/>
        <w:gridCol w:w="1680"/>
      </w:tblGrid>
      <w:tr>
        <w:trPr>
          <w:tblHeader w:val="true"/>
          <w:cantSplit/>
        </w:trPr>
        <w:tc>
          <w:tcPr>
            <w:tcW w:type="dxa" w:w="4560"/>
            <w:vAlign w:val="center"/>
            <w:shd w:fill="F2F4F7"/>
            <w:tcMar>
              <w:top w:w="80" w:type="dxa"/>
              <w:start w:w="120" w:type="dxa"/>
              <w:bottom w:w="80" w:type="dxa"/>
              <w:end w:w="120" w:type="dxa"/>
            </w:tcMar>
          </w:tcPr>
          <w:p>
            <w:pPr>
              <w:spacing w:before="0" w:after="0"/>
              <w:jc w:val="left"/>
            </w:pPr>
            <w:r>
              <w:rPr>
                <w:b/>
                <w:color w:val="102A43"/>
                <w:sz w:val="17"/>
              </w:rPr>
              <w:t>Document/control</w:t>
            </w:r>
          </w:p>
        </w:tc>
        <w:tc>
          <w:tcPr>
            <w:tcW w:type="dxa" w:w="1920"/>
            <w:vAlign w:val="center"/>
            <w:shd w:fill="F2F4F7"/>
            <w:tcMar>
              <w:top w:w="80" w:type="dxa"/>
              <w:start w:w="120" w:type="dxa"/>
              <w:bottom w:w="80" w:type="dxa"/>
              <w:end w:w="120" w:type="dxa"/>
            </w:tcMar>
          </w:tcPr>
          <w:p>
            <w:pPr>
              <w:spacing w:before="0" w:after="0"/>
              <w:jc w:val="center"/>
            </w:pPr>
            <w:r>
              <w:rPr>
                <w:b/>
                <w:color w:val="102A43"/>
                <w:sz w:val="17"/>
              </w:rPr>
              <w:t>Owner</w:t>
            </w:r>
          </w:p>
        </w:tc>
        <w:tc>
          <w:tcPr>
            <w:tcW w:type="dxa" w:w="1200"/>
            <w:vAlign w:val="center"/>
            <w:shd w:fill="F2F4F7"/>
            <w:tcMar>
              <w:top w:w="80" w:type="dxa"/>
              <w:start w:w="120" w:type="dxa"/>
              <w:bottom w:w="80" w:type="dxa"/>
              <w:end w:w="120" w:type="dxa"/>
            </w:tcMar>
          </w:tcPr>
          <w:p>
            <w:pPr>
              <w:spacing w:before="0" w:after="0"/>
              <w:jc w:val="center"/>
            </w:pPr>
            <w:r>
              <w:rPr>
                <w:b/>
                <w:color w:val="102A43"/>
                <w:sz w:val="17"/>
              </w:rPr>
              <w:t>Priority</w:t>
            </w:r>
          </w:p>
        </w:tc>
        <w:tc>
          <w:tcPr>
            <w:tcW w:type="dxa" w:w="1680"/>
            <w:vAlign w:val="center"/>
            <w:shd w:fill="F2F4F7"/>
            <w:tcMar>
              <w:top w:w="80" w:type="dxa"/>
              <w:start w:w="120" w:type="dxa"/>
              <w:bottom w:w="80" w:type="dxa"/>
              <w:end w:w="120" w:type="dxa"/>
            </w:tcMar>
          </w:tcPr>
          <w:p>
            <w:pPr>
              <w:spacing w:before="0" w:after="0"/>
              <w:jc w:val="center"/>
            </w:pPr>
            <w:r>
              <w:rPr>
                <w:b/>
                <w:color w:val="102A43"/>
                <w:sz w:val="17"/>
              </w:rPr>
              <w:t>Review</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Corporate facts and statutory obligations register</w:t>
            </w:r>
          </w:p>
        </w:tc>
        <w:tc>
          <w:tcPr>
            <w:tcW w:type="dxa" w:w="1920"/>
            <w:vAlign w:val="center"/>
            <w:tcMar>
              <w:top w:w="80" w:type="dxa"/>
              <w:start w:w="120" w:type="dxa"/>
              <w:bottom w:w="80" w:type="dxa"/>
              <w:end w:w="120" w:type="dxa"/>
            </w:tcMar>
          </w:tcPr>
          <w:p>
            <w:pPr>
              <w:spacing w:before="0" w:after="20" w:line="252" w:lineRule="auto"/>
              <w:jc w:val="left"/>
            </w:pPr>
            <w:r>
              <w:rPr>
                <w:color w:val="1D2733"/>
                <w:sz w:val="16"/>
              </w:rPr>
              <w:t>Company Secretary</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tcMar>
              <w:top w:w="80" w:type="dxa"/>
              <w:start w:w="120" w:type="dxa"/>
              <w:bottom w:w="80" w:type="dxa"/>
              <w:end w:w="120" w:type="dxa"/>
            </w:tcMar>
          </w:tcPr>
          <w:p>
            <w:pPr>
              <w:spacing w:before="0" w:after="20" w:line="252" w:lineRule="auto"/>
              <w:jc w:val="left"/>
            </w:pPr>
            <w:r>
              <w:rPr>
                <w:color w:val="1D2733"/>
                <w:sz w:val="16"/>
              </w:rPr>
              <w:t>Monthly/trigger</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Delegation of authority and reserved matters</w:t>
            </w:r>
          </w:p>
        </w:tc>
        <w:tc>
          <w:tcPr>
            <w:tcW w:type="dxa" w:w="1920"/>
            <w:vAlign w:val="center"/>
            <w:shd w:fill="FAFBFC"/>
            <w:tcMar>
              <w:top w:w="80" w:type="dxa"/>
              <w:start w:w="120" w:type="dxa"/>
              <w:bottom w:w="80" w:type="dxa"/>
              <w:end w:w="120" w:type="dxa"/>
            </w:tcMar>
          </w:tcPr>
          <w:p>
            <w:pPr>
              <w:spacing w:before="0" w:after="20" w:line="252" w:lineRule="auto"/>
              <w:jc w:val="center"/>
            </w:pPr>
            <w:r>
              <w:rPr>
                <w:color w:val="1D2733"/>
                <w:sz w:val="16"/>
              </w:rPr>
              <w:t>Board/CEO</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shd w:fill="FAFBFC"/>
            <w:tcMar>
              <w:top w:w="80" w:type="dxa"/>
              <w:start w:w="120" w:type="dxa"/>
              <w:bottom w:w="80" w:type="dxa"/>
              <w:end w:w="120" w:type="dxa"/>
            </w:tcMar>
          </w:tcPr>
          <w:p>
            <w:pPr>
              <w:spacing w:before="0" w:after="20" w:line="252" w:lineRule="auto"/>
              <w:jc w:val="center"/>
            </w:pPr>
            <w:r>
              <w:rPr>
                <w:color w:val="1D2733"/>
                <w:sz w:val="16"/>
              </w:rPr>
              <w:t>Annual</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Enterprise risk and exception policy</w:t>
            </w:r>
          </w:p>
        </w:tc>
        <w:tc>
          <w:tcPr>
            <w:tcW w:type="dxa" w:w="1920"/>
            <w:vAlign w:val="center"/>
            <w:tcMar>
              <w:top w:w="80" w:type="dxa"/>
              <w:start w:w="120" w:type="dxa"/>
              <w:bottom w:w="80" w:type="dxa"/>
              <w:end w:w="120" w:type="dxa"/>
            </w:tcMar>
          </w:tcPr>
          <w:p>
            <w:pPr>
              <w:spacing w:before="0" w:after="20" w:line="252" w:lineRule="auto"/>
              <w:jc w:val="center"/>
            </w:pPr>
            <w:r>
              <w:rPr>
                <w:color w:val="1D2733"/>
                <w:sz w:val="16"/>
              </w:rPr>
              <w:t>CEO/Risk</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tcMar>
              <w:top w:w="80" w:type="dxa"/>
              <w:start w:w="120" w:type="dxa"/>
              <w:bottom w:w="80" w:type="dxa"/>
              <w:end w:w="120" w:type="dxa"/>
            </w:tcMar>
          </w:tcPr>
          <w:p>
            <w:pPr>
              <w:spacing w:before="0" w:after="20" w:line="252" w:lineRule="auto"/>
              <w:jc w:val="center"/>
            </w:pPr>
            <w:r>
              <w:rPr>
                <w:color w:val="1D2733"/>
                <w:sz w:val="16"/>
              </w:rPr>
              <w:t>Quarterly</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Information security policy and control baseline</w:t>
            </w:r>
          </w:p>
        </w:tc>
        <w:tc>
          <w:tcPr>
            <w:tcW w:type="dxa" w:w="1920"/>
            <w:vAlign w:val="center"/>
            <w:shd w:fill="FAFBFC"/>
            <w:tcMar>
              <w:top w:w="80" w:type="dxa"/>
              <w:start w:w="120" w:type="dxa"/>
              <w:bottom w:w="80" w:type="dxa"/>
              <w:end w:w="120" w:type="dxa"/>
            </w:tcMar>
          </w:tcPr>
          <w:p>
            <w:pPr>
              <w:spacing w:before="0" w:after="20" w:line="252" w:lineRule="auto"/>
              <w:jc w:val="center"/>
            </w:pPr>
            <w:r>
              <w:rPr>
                <w:color w:val="1D2733"/>
                <w:sz w:val="16"/>
              </w:rPr>
              <w:t>Security/CTO</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shd w:fill="FAFBFC"/>
            <w:tcMar>
              <w:top w:w="80" w:type="dxa"/>
              <w:start w:w="120" w:type="dxa"/>
              <w:bottom w:w="80" w:type="dxa"/>
              <w:end w:w="120" w:type="dxa"/>
            </w:tcMar>
          </w:tcPr>
          <w:p>
            <w:pPr>
              <w:spacing w:before="0" w:after="20" w:line="252" w:lineRule="auto"/>
              <w:jc w:val="left"/>
            </w:pPr>
            <w:r>
              <w:rPr>
                <w:color w:val="1D2733"/>
                <w:sz w:val="16"/>
              </w:rPr>
              <w:t>Annual/trigger</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Data protection/privacy governance and processing register</w:t>
            </w:r>
          </w:p>
        </w:tc>
        <w:tc>
          <w:tcPr>
            <w:tcW w:type="dxa" w:w="1920"/>
            <w:vAlign w:val="center"/>
            <w:tcMar>
              <w:top w:w="80" w:type="dxa"/>
              <w:start w:w="120" w:type="dxa"/>
              <w:bottom w:w="80" w:type="dxa"/>
              <w:end w:w="120" w:type="dxa"/>
            </w:tcMar>
          </w:tcPr>
          <w:p>
            <w:pPr>
              <w:spacing w:before="0" w:after="20" w:line="252" w:lineRule="auto"/>
              <w:jc w:val="center"/>
            </w:pPr>
            <w:r>
              <w:rPr>
                <w:color w:val="1D2733"/>
                <w:sz w:val="16"/>
              </w:rPr>
              <w:t>Privacy/Legal</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tcMar>
              <w:top w:w="80" w:type="dxa"/>
              <w:start w:w="120" w:type="dxa"/>
              <w:bottom w:w="80" w:type="dxa"/>
              <w:end w:w="120" w:type="dxa"/>
            </w:tcMar>
          </w:tcPr>
          <w:p>
            <w:pPr>
              <w:spacing w:before="0" w:after="20" w:line="252" w:lineRule="auto"/>
              <w:jc w:val="left"/>
            </w:pPr>
            <w:r>
              <w:rPr>
                <w:color w:val="1D2733"/>
                <w:sz w:val="16"/>
              </w:rPr>
              <w:t>Quarterly/trigger</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Incident response and breach procedure</w:t>
            </w:r>
          </w:p>
        </w:tc>
        <w:tc>
          <w:tcPr>
            <w:tcW w:type="dxa" w:w="1920"/>
            <w:vAlign w:val="center"/>
            <w:shd w:fill="FAFBFC"/>
            <w:tcMar>
              <w:top w:w="80" w:type="dxa"/>
              <w:start w:w="120" w:type="dxa"/>
              <w:bottom w:w="80" w:type="dxa"/>
              <w:end w:w="120" w:type="dxa"/>
            </w:tcMar>
          </w:tcPr>
          <w:p>
            <w:pPr>
              <w:spacing w:before="0" w:after="20" w:line="252" w:lineRule="auto"/>
              <w:jc w:val="left"/>
            </w:pPr>
            <w:r>
              <w:rPr>
                <w:color w:val="1D2733"/>
                <w:sz w:val="16"/>
              </w:rPr>
              <w:t>Security/Privacy</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shd w:fill="FAFBFC"/>
            <w:tcMar>
              <w:top w:w="80" w:type="dxa"/>
              <w:start w:w="120" w:type="dxa"/>
              <w:bottom w:w="80" w:type="dxa"/>
              <w:end w:w="120" w:type="dxa"/>
            </w:tcMar>
          </w:tcPr>
          <w:p>
            <w:pPr>
              <w:spacing w:before="0" w:after="20" w:line="252" w:lineRule="auto"/>
              <w:jc w:val="left"/>
            </w:pPr>
            <w:r>
              <w:rPr>
                <w:color w:val="1D2733"/>
                <w:sz w:val="16"/>
              </w:rPr>
              <w:t>After exercise/incident</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Business continuity and disaster recovery plan</w:t>
            </w:r>
          </w:p>
        </w:tc>
        <w:tc>
          <w:tcPr>
            <w:tcW w:type="dxa" w:w="1920"/>
            <w:vAlign w:val="center"/>
            <w:tcMar>
              <w:top w:w="80" w:type="dxa"/>
              <w:start w:w="120" w:type="dxa"/>
              <w:bottom w:w="80" w:type="dxa"/>
              <w:end w:w="120" w:type="dxa"/>
            </w:tcMar>
          </w:tcPr>
          <w:p>
            <w:pPr>
              <w:spacing w:before="0" w:after="20" w:line="252" w:lineRule="auto"/>
              <w:jc w:val="center"/>
            </w:pPr>
            <w:r>
              <w:rPr>
                <w:color w:val="1D2733"/>
                <w:sz w:val="16"/>
              </w:rPr>
              <w:t>Service Ops</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tcMar>
              <w:top w:w="80" w:type="dxa"/>
              <w:start w:w="120" w:type="dxa"/>
              <w:bottom w:w="80" w:type="dxa"/>
              <w:end w:w="120" w:type="dxa"/>
            </w:tcMar>
          </w:tcPr>
          <w:p>
            <w:pPr>
              <w:spacing w:before="0" w:after="20" w:line="252" w:lineRule="auto"/>
              <w:jc w:val="left"/>
            </w:pPr>
            <w:r>
              <w:rPr>
                <w:color w:val="1D2733"/>
                <w:sz w:val="16"/>
              </w:rPr>
              <w:t>Annual/trigger</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Backup, restoration and retention standard</w:t>
            </w:r>
          </w:p>
        </w:tc>
        <w:tc>
          <w:tcPr>
            <w:tcW w:type="dxa" w:w="1920"/>
            <w:vAlign w:val="center"/>
            <w:shd w:fill="FAFBFC"/>
            <w:tcMar>
              <w:top w:w="80" w:type="dxa"/>
              <w:start w:w="120" w:type="dxa"/>
              <w:bottom w:w="80" w:type="dxa"/>
              <w:end w:w="120" w:type="dxa"/>
            </w:tcMar>
          </w:tcPr>
          <w:p>
            <w:pPr>
              <w:spacing w:before="0" w:after="20" w:line="252" w:lineRule="auto"/>
              <w:jc w:val="left"/>
            </w:pPr>
            <w:r>
              <w:rPr>
                <w:color w:val="1D2733"/>
                <w:sz w:val="16"/>
              </w:rPr>
              <w:t>CTO/Service Ops</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shd w:fill="FAFBFC"/>
            <w:tcMar>
              <w:top w:w="80" w:type="dxa"/>
              <w:start w:w="120" w:type="dxa"/>
              <w:bottom w:w="80" w:type="dxa"/>
              <w:end w:w="120" w:type="dxa"/>
            </w:tcMar>
          </w:tcPr>
          <w:p>
            <w:pPr>
              <w:spacing w:before="0" w:after="20" w:line="252" w:lineRule="auto"/>
              <w:jc w:val="center"/>
            </w:pPr>
            <w:r>
              <w:rPr>
                <w:color w:val="1D2733"/>
                <w:sz w:val="16"/>
              </w:rPr>
              <w:t>Six-monthly</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Product governance and lifecycle policy</w:t>
            </w:r>
          </w:p>
        </w:tc>
        <w:tc>
          <w:tcPr>
            <w:tcW w:type="dxa" w:w="1920"/>
            <w:vAlign w:val="center"/>
            <w:tcMar>
              <w:top w:w="80" w:type="dxa"/>
              <w:start w:w="120" w:type="dxa"/>
              <w:bottom w:w="80" w:type="dxa"/>
              <w:end w:w="120" w:type="dxa"/>
            </w:tcMar>
          </w:tcPr>
          <w:p>
            <w:pPr>
              <w:spacing w:before="0" w:after="20" w:line="252" w:lineRule="auto"/>
              <w:jc w:val="left"/>
            </w:pPr>
            <w:r>
              <w:rPr>
                <w:color w:val="1D2733"/>
                <w:sz w:val="16"/>
              </w:rPr>
              <w:t>Head of Product</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90 days</w:t>
            </w:r>
          </w:p>
        </w:tc>
        <w:tc>
          <w:tcPr>
            <w:tcW w:type="dxa" w:w="1680"/>
            <w:vAlign w:val="center"/>
            <w:tcMar>
              <w:top w:w="80" w:type="dxa"/>
              <w:start w:w="120" w:type="dxa"/>
              <w:bottom w:w="80" w:type="dxa"/>
              <w:end w:w="120" w:type="dxa"/>
            </w:tcMar>
          </w:tcPr>
          <w:p>
            <w:pPr>
              <w:spacing w:before="0" w:after="20" w:line="252" w:lineRule="auto"/>
              <w:jc w:val="center"/>
            </w:pPr>
            <w:r>
              <w:rPr>
                <w:color w:val="1D2733"/>
                <w:sz w:val="16"/>
              </w:rPr>
              <w:t>Annual</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Secure SDLC, repository and release standard</w:t>
            </w:r>
          </w:p>
        </w:tc>
        <w:tc>
          <w:tcPr>
            <w:tcW w:type="dxa" w:w="1920"/>
            <w:vAlign w:val="center"/>
            <w:shd w:fill="FAFBFC"/>
            <w:tcMar>
              <w:top w:w="80" w:type="dxa"/>
              <w:start w:w="120" w:type="dxa"/>
              <w:bottom w:w="80" w:type="dxa"/>
              <w:end w:w="120" w:type="dxa"/>
            </w:tcMar>
          </w:tcPr>
          <w:p>
            <w:pPr>
              <w:spacing w:before="0" w:after="20" w:line="252" w:lineRule="auto"/>
              <w:jc w:val="left"/>
            </w:pPr>
            <w:r>
              <w:rPr>
                <w:color w:val="1D2733"/>
                <w:sz w:val="16"/>
              </w:rPr>
              <w:t>Engineering/Security</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shd w:fill="FAFBFC"/>
            <w:tcMar>
              <w:top w:w="80" w:type="dxa"/>
              <w:start w:w="120" w:type="dxa"/>
              <w:bottom w:w="80" w:type="dxa"/>
              <w:end w:w="120" w:type="dxa"/>
            </w:tcMar>
          </w:tcPr>
          <w:p>
            <w:pPr>
              <w:spacing w:before="0" w:after="20" w:line="252" w:lineRule="auto"/>
              <w:jc w:val="center"/>
            </w:pPr>
            <w:r>
              <w:rPr>
                <w:color w:val="1D2733"/>
                <w:sz w:val="16"/>
              </w:rPr>
              <w:t>Six-monthly</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Architecture principles and ADR process</w:t>
            </w:r>
          </w:p>
        </w:tc>
        <w:tc>
          <w:tcPr>
            <w:tcW w:type="dxa" w:w="1920"/>
            <w:vAlign w:val="center"/>
            <w:tcMar>
              <w:top w:w="80" w:type="dxa"/>
              <w:start w:w="120" w:type="dxa"/>
              <w:bottom w:w="80" w:type="dxa"/>
              <w:end w:w="120" w:type="dxa"/>
            </w:tcMar>
          </w:tcPr>
          <w:p>
            <w:pPr>
              <w:spacing w:before="0" w:after="20" w:line="252" w:lineRule="auto"/>
              <w:jc w:val="center"/>
            </w:pPr>
            <w:r>
              <w:rPr>
                <w:color w:val="1D2733"/>
                <w:sz w:val="16"/>
              </w:rPr>
              <w:t>CTO</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tcMar>
              <w:top w:w="80" w:type="dxa"/>
              <w:start w:w="120" w:type="dxa"/>
              <w:bottom w:w="80" w:type="dxa"/>
              <w:end w:w="120" w:type="dxa"/>
            </w:tcMar>
          </w:tcPr>
          <w:p>
            <w:pPr>
              <w:spacing w:before="0" w:after="20" w:line="252" w:lineRule="auto"/>
              <w:jc w:val="center"/>
            </w:pPr>
            <w:r>
              <w:rPr>
                <w:color w:val="1D2733"/>
                <w:sz w:val="16"/>
              </w:rPr>
              <w:t>Annual</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AI/Agentic AI governance and acceptable-use policy</w:t>
            </w:r>
          </w:p>
        </w:tc>
        <w:tc>
          <w:tcPr>
            <w:tcW w:type="dxa" w:w="1920"/>
            <w:vAlign w:val="center"/>
            <w:shd w:fill="FAFBFC"/>
            <w:tcMar>
              <w:top w:w="80" w:type="dxa"/>
              <w:start w:w="120" w:type="dxa"/>
              <w:bottom w:w="80" w:type="dxa"/>
              <w:end w:w="120" w:type="dxa"/>
            </w:tcMar>
          </w:tcPr>
          <w:p>
            <w:pPr>
              <w:spacing w:before="0" w:after="20" w:line="252" w:lineRule="auto"/>
              <w:jc w:val="center"/>
            </w:pPr>
            <w:r>
              <w:rPr>
                <w:color w:val="1D2733"/>
                <w:sz w:val="16"/>
              </w:rPr>
              <w:t>AI Council</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shd w:fill="FAFBFC"/>
            <w:tcMar>
              <w:top w:w="80" w:type="dxa"/>
              <w:start w:w="120" w:type="dxa"/>
              <w:bottom w:w="80" w:type="dxa"/>
              <w:end w:w="120" w:type="dxa"/>
            </w:tcMar>
          </w:tcPr>
          <w:p>
            <w:pPr>
              <w:spacing w:before="0" w:after="20" w:line="252" w:lineRule="auto"/>
              <w:jc w:val="left"/>
            </w:pPr>
            <w:r>
              <w:rPr>
                <w:color w:val="1D2733"/>
                <w:sz w:val="16"/>
              </w:rPr>
              <w:t>Quarterly/trigger</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AI/model/prompt/tool/evaluation register</w:t>
            </w:r>
          </w:p>
        </w:tc>
        <w:tc>
          <w:tcPr>
            <w:tcW w:type="dxa" w:w="1920"/>
            <w:vAlign w:val="center"/>
            <w:tcMar>
              <w:top w:w="80" w:type="dxa"/>
              <w:start w:w="120" w:type="dxa"/>
              <w:bottom w:w="80" w:type="dxa"/>
              <w:end w:w="120" w:type="dxa"/>
            </w:tcMar>
          </w:tcPr>
          <w:p>
            <w:pPr>
              <w:spacing w:before="0" w:after="20" w:line="252" w:lineRule="auto"/>
              <w:jc w:val="center"/>
            </w:pPr>
            <w:r>
              <w:rPr>
                <w:color w:val="1D2733"/>
                <w:sz w:val="16"/>
              </w:rPr>
              <w:t>AI/Data lead</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90 days</w:t>
            </w:r>
          </w:p>
        </w:tc>
        <w:tc>
          <w:tcPr>
            <w:tcW w:type="dxa" w:w="1680"/>
            <w:vAlign w:val="center"/>
            <w:tcMar>
              <w:top w:w="80" w:type="dxa"/>
              <w:start w:w="120" w:type="dxa"/>
              <w:bottom w:w="80" w:type="dxa"/>
              <w:end w:w="120" w:type="dxa"/>
            </w:tcMar>
          </w:tcPr>
          <w:p>
            <w:pPr>
              <w:spacing w:before="0" w:after="20" w:line="252" w:lineRule="auto"/>
              <w:jc w:val="center"/>
            </w:pPr>
            <w:r>
              <w:rPr>
                <w:color w:val="1D2733"/>
                <w:sz w:val="16"/>
              </w:rPr>
              <w:t>Continuous</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Vendor, open-source and supply-chain policy</w:t>
            </w:r>
          </w:p>
        </w:tc>
        <w:tc>
          <w:tcPr>
            <w:tcW w:type="dxa" w:w="1920"/>
            <w:vAlign w:val="center"/>
            <w:shd w:fill="FAFBFC"/>
            <w:tcMar>
              <w:top w:w="80" w:type="dxa"/>
              <w:start w:w="120" w:type="dxa"/>
              <w:bottom w:w="80" w:type="dxa"/>
              <w:end w:w="120" w:type="dxa"/>
            </w:tcMar>
          </w:tcPr>
          <w:p>
            <w:pPr>
              <w:spacing w:before="0" w:after="20" w:line="252" w:lineRule="auto"/>
              <w:jc w:val="left"/>
            </w:pPr>
            <w:r>
              <w:rPr>
                <w:color w:val="1D2733"/>
                <w:sz w:val="16"/>
              </w:rPr>
              <w:t>Procurement/CTO</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90 days</w:t>
            </w:r>
          </w:p>
        </w:tc>
        <w:tc>
          <w:tcPr>
            <w:tcW w:type="dxa" w:w="1680"/>
            <w:vAlign w:val="center"/>
            <w:shd w:fill="FAFBFC"/>
            <w:tcMar>
              <w:top w:w="80" w:type="dxa"/>
              <w:start w:w="120" w:type="dxa"/>
              <w:bottom w:w="80" w:type="dxa"/>
              <w:end w:w="120" w:type="dxa"/>
            </w:tcMar>
          </w:tcPr>
          <w:p>
            <w:pPr>
              <w:spacing w:before="0" w:after="20" w:line="252" w:lineRule="auto"/>
              <w:jc w:val="center"/>
            </w:pPr>
            <w:r>
              <w:rPr>
                <w:color w:val="1D2733"/>
                <w:sz w:val="16"/>
              </w:rPr>
              <w:t>Annual</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Access control and joiner-mover-leaver process</w:t>
            </w:r>
          </w:p>
        </w:tc>
        <w:tc>
          <w:tcPr>
            <w:tcW w:type="dxa" w:w="1920"/>
            <w:vAlign w:val="center"/>
            <w:tcMar>
              <w:top w:w="80" w:type="dxa"/>
              <w:start w:w="120" w:type="dxa"/>
              <w:bottom w:w="80" w:type="dxa"/>
              <w:end w:w="120" w:type="dxa"/>
            </w:tcMar>
          </w:tcPr>
          <w:p>
            <w:pPr>
              <w:spacing w:before="0" w:after="20" w:line="252" w:lineRule="auto"/>
              <w:jc w:val="left"/>
            </w:pPr>
            <w:r>
              <w:rPr>
                <w:color w:val="1D2733"/>
                <w:sz w:val="16"/>
              </w:rPr>
              <w:t>People/Security</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tcMar>
              <w:top w:w="80" w:type="dxa"/>
              <w:start w:w="120" w:type="dxa"/>
              <w:bottom w:w="80" w:type="dxa"/>
              <w:end w:w="120" w:type="dxa"/>
            </w:tcMar>
          </w:tcPr>
          <w:p>
            <w:pPr>
              <w:spacing w:before="0" w:after="20" w:line="252" w:lineRule="auto"/>
              <w:jc w:val="center"/>
            </w:pPr>
            <w:r>
              <w:rPr>
                <w:color w:val="1D2733"/>
                <w:sz w:val="16"/>
              </w:rPr>
              <w:t>Quarterly</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Asset, device and software licence policy</w:t>
            </w:r>
          </w:p>
        </w:tc>
        <w:tc>
          <w:tcPr>
            <w:tcW w:type="dxa" w:w="1920"/>
            <w:vAlign w:val="center"/>
            <w:shd w:fill="FAFBFC"/>
            <w:tcMar>
              <w:top w:w="80" w:type="dxa"/>
              <w:start w:w="120" w:type="dxa"/>
              <w:bottom w:w="80" w:type="dxa"/>
              <w:end w:w="120" w:type="dxa"/>
            </w:tcMar>
          </w:tcPr>
          <w:p>
            <w:pPr>
              <w:spacing w:before="0" w:after="20" w:line="252" w:lineRule="auto"/>
              <w:jc w:val="center"/>
            </w:pPr>
            <w:r>
              <w:rPr>
                <w:color w:val="1D2733"/>
                <w:sz w:val="16"/>
              </w:rPr>
              <w:t>IT/Finance</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90 days</w:t>
            </w:r>
          </w:p>
        </w:tc>
        <w:tc>
          <w:tcPr>
            <w:tcW w:type="dxa" w:w="1680"/>
            <w:vAlign w:val="center"/>
            <w:shd w:fill="FAFBFC"/>
            <w:tcMar>
              <w:top w:w="80" w:type="dxa"/>
              <w:start w:w="120" w:type="dxa"/>
              <w:bottom w:w="80" w:type="dxa"/>
              <w:end w:w="120" w:type="dxa"/>
            </w:tcMar>
          </w:tcPr>
          <w:p>
            <w:pPr>
              <w:spacing w:before="0" w:after="20" w:line="252" w:lineRule="auto"/>
              <w:jc w:val="center"/>
            </w:pPr>
            <w:r>
              <w:rPr>
                <w:color w:val="1D2733"/>
                <w:sz w:val="16"/>
              </w:rPr>
              <w:t>Quarterly</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Client onboarding, deployment and offboarding playbook</w:t>
            </w:r>
          </w:p>
        </w:tc>
        <w:tc>
          <w:tcPr>
            <w:tcW w:type="dxa" w:w="1920"/>
            <w:vAlign w:val="center"/>
            <w:tcMar>
              <w:top w:w="80" w:type="dxa"/>
              <w:start w:w="120" w:type="dxa"/>
              <w:bottom w:w="80" w:type="dxa"/>
              <w:end w:w="120" w:type="dxa"/>
            </w:tcMar>
          </w:tcPr>
          <w:p>
            <w:pPr>
              <w:spacing w:before="0" w:after="20" w:line="252" w:lineRule="auto"/>
              <w:jc w:val="center"/>
            </w:pPr>
            <w:r>
              <w:rPr>
                <w:color w:val="1D2733"/>
                <w:sz w:val="16"/>
              </w:rPr>
              <w:t>Service Ops</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90 days</w:t>
            </w:r>
          </w:p>
        </w:tc>
        <w:tc>
          <w:tcPr>
            <w:tcW w:type="dxa" w:w="1680"/>
            <w:vAlign w:val="center"/>
            <w:tcMar>
              <w:top w:w="80" w:type="dxa"/>
              <w:start w:w="120" w:type="dxa"/>
              <w:bottom w:w="80" w:type="dxa"/>
              <w:end w:w="120" w:type="dxa"/>
            </w:tcMar>
          </w:tcPr>
          <w:p>
            <w:pPr>
              <w:spacing w:before="0" w:after="20" w:line="252" w:lineRule="auto"/>
              <w:jc w:val="center"/>
            </w:pPr>
            <w:r>
              <w:rPr>
                <w:color w:val="1D2733"/>
                <w:sz w:val="16"/>
              </w:rPr>
              <w:t>Six-monthly</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Support, severity, SLA and maintenance policy</w:t>
            </w:r>
          </w:p>
        </w:tc>
        <w:tc>
          <w:tcPr>
            <w:tcW w:type="dxa" w:w="1920"/>
            <w:vAlign w:val="center"/>
            <w:shd w:fill="FAFBFC"/>
            <w:tcMar>
              <w:top w:w="80" w:type="dxa"/>
              <w:start w:w="120" w:type="dxa"/>
              <w:bottom w:w="80" w:type="dxa"/>
              <w:end w:w="120" w:type="dxa"/>
            </w:tcMar>
          </w:tcPr>
          <w:p>
            <w:pPr>
              <w:spacing w:before="0" w:after="20" w:line="252" w:lineRule="auto"/>
              <w:jc w:val="center"/>
            </w:pPr>
            <w:r>
              <w:rPr>
                <w:color w:val="1D2733"/>
                <w:sz w:val="16"/>
              </w:rPr>
              <w:t>Service Ops</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90 days</w:t>
            </w:r>
          </w:p>
        </w:tc>
        <w:tc>
          <w:tcPr>
            <w:tcW w:type="dxa" w:w="1680"/>
            <w:vAlign w:val="center"/>
            <w:shd w:fill="FAFBFC"/>
            <w:tcMar>
              <w:top w:w="80" w:type="dxa"/>
              <w:start w:w="120" w:type="dxa"/>
              <w:bottom w:w="80" w:type="dxa"/>
              <w:end w:w="120" w:type="dxa"/>
            </w:tcMar>
          </w:tcPr>
          <w:p>
            <w:pPr>
              <w:spacing w:before="0" w:after="20" w:line="252" w:lineRule="auto"/>
              <w:jc w:val="center"/>
            </w:pPr>
            <w:r>
              <w:rPr>
                <w:color w:val="1D2733"/>
                <w:sz w:val="16"/>
              </w:rPr>
              <w:t>Six-monthly</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Pricing, discount and commercial approval policy</w:t>
            </w:r>
          </w:p>
        </w:tc>
        <w:tc>
          <w:tcPr>
            <w:tcW w:type="dxa" w:w="1920"/>
            <w:vAlign w:val="center"/>
            <w:tcMar>
              <w:top w:w="80" w:type="dxa"/>
              <w:start w:w="120" w:type="dxa"/>
              <w:bottom w:w="80" w:type="dxa"/>
              <w:end w:w="120" w:type="dxa"/>
            </w:tcMar>
          </w:tcPr>
          <w:p>
            <w:pPr>
              <w:spacing w:before="0" w:after="20" w:line="252" w:lineRule="auto"/>
              <w:jc w:val="left"/>
            </w:pPr>
            <w:r>
              <w:rPr>
                <w:color w:val="1D2733"/>
                <w:sz w:val="16"/>
              </w:rPr>
              <w:t>Finance/Commercial</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90 days</w:t>
            </w:r>
          </w:p>
        </w:tc>
        <w:tc>
          <w:tcPr>
            <w:tcW w:type="dxa" w:w="1680"/>
            <w:vAlign w:val="center"/>
            <w:tcMar>
              <w:top w:w="80" w:type="dxa"/>
              <w:start w:w="120" w:type="dxa"/>
              <w:bottom w:w="80" w:type="dxa"/>
              <w:end w:w="120" w:type="dxa"/>
            </w:tcMar>
          </w:tcPr>
          <w:p>
            <w:pPr>
              <w:spacing w:before="0" w:after="20" w:line="252" w:lineRule="auto"/>
              <w:jc w:val="center"/>
            </w:pPr>
            <w:r>
              <w:rPr>
                <w:color w:val="1D2733"/>
                <w:sz w:val="16"/>
              </w:rPr>
              <w:t>Quarterly</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Contract templates and deviation matrix</w:t>
            </w:r>
          </w:p>
        </w:tc>
        <w:tc>
          <w:tcPr>
            <w:tcW w:type="dxa" w:w="1920"/>
            <w:vAlign w:val="center"/>
            <w:shd w:fill="FAFBFC"/>
            <w:tcMar>
              <w:top w:w="80" w:type="dxa"/>
              <w:start w:w="120" w:type="dxa"/>
              <w:bottom w:w="80" w:type="dxa"/>
              <w:end w:w="120" w:type="dxa"/>
            </w:tcMar>
          </w:tcPr>
          <w:p>
            <w:pPr>
              <w:spacing w:before="0" w:after="20" w:line="252" w:lineRule="auto"/>
              <w:jc w:val="left"/>
            </w:pPr>
            <w:r>
              <w:rPr>
                <w:color w:val="1D2733"/>
                <w:sz w:val="16"/>
              </w:rPr>
              <w:t>Legal/Commercial</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shd w:fill="FAFBFC"/>
            <w:tcMar>
              <w:top w:w="80" w:type="dxa"/>
              <w:start w:w="120" w:type="dxa"/>
              <w:bottom w:w="80" w:type="dxa"/>
              <w:end w:w="120" w:type="dxa"/>
            </w:tcMar>
          </w:tcPr>
          <w:p>
            <w:pPr>
              <w:spacing w:before="0" w:after="20" w:line="252" w:lineRule="auto"/>
              <w:jc w:val="left"/>
            </w:pPr>
            <w:r>
              <w:rPr>
                <w:color w:val="1D2733"/>
                <w:sz w:val="16"/>
              </w:rPr>
              <w:t>Annual/trigger</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Marketing claims, content and social governance</w:t>
            </w:r>
          </w:p>
        </w:tc>
        <w:tc>
          <w:tcPr>
            <w:tcW w:type="dxa" w:w="1920"/>
            <w:vAlign w:val="center"/>
            <w:tcMar>
              <w:top w:w="80" w:type="dxa"/>
              <w:start w:w="120" w:type="dxa"/>
              <w:bottom w:w="80" w:type="dxa"/>
              <w:end w:w="120" w:type="dxa"/>
            </w:tcMar>
          </w:tcPr>
          <w:p>
            <w:pPr>
              <w:spacing w:before="0" w:after="20" w:line="252" w:lineRule="auto"/>
              <w:jc w:val="left"/>
            </w:pPr>
            <w:r>
              <w:rPr>
                <w:color w:val="1D2733"/>
                <w:sz w:val="16"/>
              </w:rPr>
              <w:t>Marketing/Legal</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90 days</w:t>
            </w:r>
          </w:p>
        </w:tc>
        <w:tc>
          <w:tcPr>
            <w:tcW w:type="dxa" w:w="1680"/>
            <w:vAlign w:val="center"/>
            <w:tcMar>
              <w:top w:w="80" w:type="dxa"/>
              <w:start w:w="120" w:type="dxa"/>
              <w:bottom w:w="80" w:type="dxa"/>
              <w:end w:w="120" w:type="dxa"/>
            </w:tcMar>
          </w:tcPr>
          <w:p>
            <w:pPr>
              <w:spacing w:before="0" w:after="20" w:line="252" w:lineRule="auto"/>
              <w:jc w:val="center"/>
            </w:pPr>
            <w:r>
              <w:rPr>
                <w:color w:val="1D2733"/>
                <w:sz w:val="16"/>
              </w:rPr>
              <w:t>Six-monthly</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People handbook, conduct, performance and learning</w:t>
            </w:r>
          </w:p>
        </w:tc>
        <w:tc>
          <w:tcPr>
            <w:tcW w:type="dxa" w:w="1920"/>
            <w:vAlign w:val="center"/>
            <w:shd w:fill="FAFBFC"/>
            <w:tcMar>
              <w:top w:w="80" w:type="dxa"/>
              <w:start w:w="120" w:type="dxa"/>
              <w:bottom w:w="80" w:type="dxa"/>
              <w:end w:w="120" w:type="dxa"/>
            </w:tcMar>
          </w:tcPr>
          <w:p>
            <w:pPr>
              <w:spacing w:before="0" w:after="20" w:line="252" w:lineRule="auto"/>
              <w:jc w:val="center"/>
            </w:pPr>
            <w:r>
              <w:rPr>
                <w:color w:val="1D2733"/>
                <w:sz w:val="16"/>
              </w:rPr>
              <w:t>People</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90 days</w:t>
            </w:r>
          </w:p>
        </w:tc>
        <w:tc>
          <w:tcPr>
            <w:tcW w:type="dxa" w:w="1680"/>
            <w:vAlign w:val="center"/>
            <w:shd w:fill="FAFBFC"/>
            <w:tcMar>
              <w:top w:w="80" w:type="dxa"/>
              <w:start w:w="120" w:type="dxa"/>
              <w:bottom w:w="80" w:type="dxa"/>
              <w:end w:w="120" w:type="dxa"/>
            </w:tcMar>
          </w:tcPr>
          <w:p>
            <w:pPr>
              <w:spacing w:before="0" w:after="20" w:line="252" w:lineRule="auto"/>
              <w:jc w:val="center"/>
            </w:pPr>
            <w:r>
              <w:rPr>
                <w:color w:val="1D2733"/>
                <w:sz w:val="16"/>
              </w:rPr>
              <w:t>Annual</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Academy curriculum, assessment and credential policy</w:t>
            </w:r>
          </w:p>
        </w:tc>
        <w:tc>
          <w:tcPr>
            <w:tcW w:type="dxa" w:w="1920"/>
            <w:vAlign w:val="center"/>
            <w:tcMar>
              <w:top w:w="80" w:type="dxa"/>
              <w:start w:w="120" w:type="dxa"/>
              <w:bottom w:w="80" w:type="dxa"/>
              <w:end w:w="120" w:type="dxa"/>
            </w:tcMar>
          </w:tcPr>
          <w:p>
            <w:pPr>
              <w:spacing w:before="0" w:after="20" w:line="252" w:lineRule="auto"/>
              <w:jc w:val="center"/>
            </w:pPr>
            <w:r>
              <w:rPr>
                <w:color w:val="1D2733"/>
                <w:sz w:val="16"/>
              </w:rPr>
              <w:t>Academy</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90 days</w:t>
            </w:r>
          </w:p>
        </w:tc>
        <w:tc>
          <w:tcPr>
            <w:tcW w:type="dxa" w:w="1680"/>
            <w:vAlign w:val="center"/>
            <w:tcMar>
              <w:top w:w="80" w:type="dxa"/>
              <w:start w:w="120" w:type="dxa"/>
              <w:bottom w:w="80" w:type="dxa"/>
              <w:end w:w="120" w:type="dxa"/>
            </w:tcMar>
          </w:tcPr>
          <w:p>
            <w:pPr>
              <w:spacing w:before="0" w:after="20" w:line="252" w:lineRule="auto"/>
              <w:jc w:val="left"/>
            </w:pPr>
            <w:r>
              <w:rPr>
                <w:color w:val="1D2733"/>
                <w:sz w:val="16"/>
              </w:rPr>
              <w:t>Each programme</w:t>
            </w:r>
          </w:p>
        </w:tc>
      </w:tr>
      <w:tr>
        <w:trPr>
          <w:cantSplit/>
        </w:trPr>
        <w:tc>
          <w:tcPr>
            <w:tcW w:type="dxa" w:w="4560"/>
            <w:vAlign w:val="center"/>
            <w:shd w:fill="FAFBFC"/>
            <w:tcMar>
              <w:top w:w="80" w:type="dxa"/>
              <w:start w:w="120" w:type="dxa"/>
              <w:bottom w:w="80" w:type="dxa"/>
              <w:end w:w="120" w:type="dxa"/>
            </w:tcMar>
          </w:tcPr>
          <w:p>
            <w:pPr>
              <w:spacing w:before="0" w:after="20" w:line="252" w:lineRule="auto"/>
              <w:jc w:val="left"/>
            </w:pPr>
            <w:r>
              <w:rPr>
                <w:color w:val="1D2733"/>
                <w:sz w:val="16"/>
              </w:rPr>
              <w:t>Financial close, procurement and payment controls</w:t>
            </w:r>
          </w:p>
        </w:tc>
        <w:tc>
          <w:tcPr>
            <w:tcW w:type="dxa" w:w="1920"/>
            <w:vAlign w:val="center"/>
            <w:shd w:fill="FAFBFC"/>
            <w:tcMar>
              <w:top w:w="80" w:type="dxa"/>
              <w:start w:w="120" w:type="dxa"/>
              <w:bottom w:w="80" w:type="dxa"/>
              <w:end w:w="120" w:type="dxa"/>
            </w:tcMar>
          </w:tcPr>
          <w:p>
            <w:pPr>
              <w:spacing w:before="0" w:after="20" w:line="252" w:lineRule="auto"/>
              <w:jc w:val="center"/>
            </w:pPr>
            <w:r>
              <w:rPr>
                <w:color w:val="1D2733"/>
                <w:sz w:val="16"/>
              </w:rPr>
              <w:t>Finance</w:t>
            </w:r>
          </w:p>
        </w:tc>
        <w:tc>
          <w:tcPr>
            <w:tcW w:type="dxa" w:w="1200"/>
            <w:vAlign w:val="center"/>
            <w:shd w:fill="FAFBFC"/>
            <w:tcMar>
              <w:top w:w="80" w:type="dxa"/>
              <w:start w:w="120" w:type="dxa"/>
              <w:bottom w:w="80" w:type="dxa"/>
              <w:end w:w="120" w:type="dxa"/>
            </w:tcMar>
          </w:tcPr>
          <w:p>
            <w:pPr>
              <w:spacing w:before="0" w:after="20" w:line="252" w:lineRule="auto"/>
              <w:jc w:val="center"/>
            </w:pPr>
            <w:r>
              <w:rPr>
                <w:color w:val="1D2733"/>
                <w:sz w:val="16"/>
              </w:rPr>
              <w:t>Immediate</w:t>
            </w:r>
          </w:p>
        </w:tc>
        <w:tc>
          <w:tcPr>
            <w:tcW w:type="dxa" w:w="1680"/>
            <w:vAlign w:val="center"/>
            <w:shd w:fill="FAFBFC"/>
            <w:tcMar>
              <w:top w:w="80" w:type="dxa"/>
              <w:start w:w="120" w:type="dxa"/>
              <w:bottom w:w="80" w:type="dxa"/>
              <w:end w:w="120" w:type="dxa"/>
            </w:tcMar>
          </w:tcPr>
          <w:p>
            <w:pPr>
              <w:spacing w:before="0" w:after="20" w:line="252" w:lineRule="auto"/>
              <w:jc w:val="center"/>
            </w:pPr>
            <w:r>
              <w:rPr>
                <w:color w:val="1D2733"/>
                <w:sz w:val="16"/>
              </w:rPr>
              <w:t>Annual</w:t>
            </w:r>
          </w:p>
        </w:tc>
      </w:tr>
      <w:tr>
        <w:trPr>
          <w:cantSplit/>
        </w:trPr>
        <w:tc>
          <w:tcPr>
            <w:tcW w:type="dxa" w:w="4560"/>
            <w:vAlign w:val="center"/>
            <w:tcMar>
              <w:top w:w="80" w:type="dxa"/>
              <w:start w:w="120" w:type="dxa"/>
              <w:bottom w:w="80" w:type="dxa"/>
              <w:end w:w="120" w:type="dxa"/>
            </w:tcMar>
          </w:tcPr>
          <w:p>
            <w:pPr>
              <w:spacing w:before="0" w:after="20" w:line="252" w:lineRule="auto"/>
              <w:jc w:val="left"/>
            </w:pPr>
            <w:r>
              <w:rPr>
                <w:color w:val="1D2733"/>
                <w:sz w:val="16"/>
              </w:rPr>
              <w:t>KPI dictionary and data-quality standard</w:t>
            </w:r>
          </w:p>
        </w:tc>
        <w:tc>
          <w:tcPr>
            <w:tcW w:type="dxa" w:w="1920"/>
            <w:vAlign w:val="center"/>
            <w:tcMar>
              <w:top w:w="80" w:type="dxa"/>
              <w:start w:w="120" w:type="dxa"/>
              <w:bottom w:w="80" w:type="dxa"/>
              <w:end w:w="120" w:type="dxa"/>
            </w:tcMar>
          </w:tcPr>
          <w:p>
            <w:pPr>
              <w:spacing w:before="0" w:after="20" w:line="252" w:lineRule="auto"/>
              <w:jc w:val="center"/>
            </w:pPr>
            <w:r>
              <w:rPr>
                <w:color w:val="1D2733"/>
                <w:sz w:val="16"/>
              </w:rPr>
              <w:t>PMO/Data</w:t>
            </w:r>
          </w:p>
        </w:tc>
        <w:tc>
          <w:tcPr>
            <w:tcW w:type="dxa" w:w="1200"/>
            <w:vAlign w:val="center"/>
            <w:tcMar>
              <w:top w:w="80" w:type="dxa"/>
              <w:start w:w="120" w:type="dxa"/>
              <w:bottom w:w="80" w:type="dxa"/>
              <w:end w:w="120" w:type="dxa"/>
            </w:tcMar>
          </w:tcPr>
          <w:p>
            <w:pPr>
              <w:spacing w:before="0" w:after="20" w:line="252" w:lineRule="auto"/>
              <w:jc w:val="center"/>
            </w:pPr>
            <w:r>
              <w:rPr>
                <w:color w:val="1D2733"/>
                <w:sz w:val="16"/>
              </w:rPr>
              <w:t>90 days</w:t>
            </w:r>
          </w:p>
        </w:tc>
        <w:tc>
          <w:tcPr>
            <w:tcW w:type="dxa" w:w="1680"/>
            <w:vAlign w:val="center"/>
            <w:tcMar>
              <w:top w:w="80" w:type="dxa"/>
              <w:start w:w="120" w:type="dxa"/>
              <w:bottom w:w="80" w:type="dxa"/>
              <w:end w:w="120" w:type="dxa"/>
            </w:tcMar>
          </w:tcPr>
          <w:p>
            <w:pPr>
              <w:spacing w:before="0" w:after="20" w:line="252" w:lineRule="auto"/>
              <w:jc w:val="center"/>
            </w:pPr>
            <w:r>
              <w:rPr>
                <w:color w:val="1D2733"/>
                <w:sz w:val="16"/>
              </w:rPr>
              <w:t>Quarterly</w:t>
            </w:r>
          </w:p>
        </w:tc>
      </w:tr>
    </w:tbl>
    <w:p>
      <w:bookmarkStart w:id="41" w:name="appe"/>
      <w:pPr>
        <w:pStyle w:val="Heading1"/>
      </w:pPr>
      <w:r>
        <w:t>APPENDIX E | Source and Evidence Register</w:t>
      </w:r>
      <w:bookmarkEnd w:id="41"/>
    </w:p>
    <w:p>
      <w:pPr>
        <w:pStyle w:val="LeadCallout"/>
        <w:shd w:fill="F4F6F9"/>
        <w:pBdr>
          <w:left w:val="single" w:sz="18" w:space="8" w:color="C99A2E"/>
        </w:pBdr>
      </w:pPr>
      <w:r>
        <w:rPr>
          <w:b/>
          <w:color w:val="102A43"/>
        </w:rPr>
        <w:t xml:space="preserve">Source policy: </w:t>
      </w:r>
      <w:r>
        <w:t>The sources below support the external legal, governance and engineering references used in this blueprint. They do not certify Rihuum's compliance. Laws, regulator guidance and standards change; authorised owners must verify the current official text before relying on it for a transaction or launch.</w:t>
      </w:r>
    </w:p>
    <w:p>
      <w:pPr>
        <w:spacing w:after="120"/>
      </w:pPr>
      <w:r>
        <w:rPr>
          <w:b/>
          <w:color w:val="102A43"/>
        </w:rPr>
        <w:t xml:space="preserve">S1. Corporate Affairs Commission - official Nigerian corporate registry and CAMA 2020 context. </w:t>
      </w:r>
      <w:hyperlink r:id="rId18">
        <w:r>
          <w:rPr>
            <w:color w:val="2E74B5"/>
            <w:u w:val="single"/>
          </w:rPr>
          <w:t>Open official source</w:t>
        </w:r>
      </w:hyperlink>
    </w:p>
    <w:p>
      <w:pPr>
        <w:spacing w:after="120"/>
      </w:pPr>
      <w:r>
        <w:rPr>
          <w:b/>
          <w:color w:val="102A43"/>
        </w:rPr>
        <w:t xml:space="preserve">S2. Nigeria Data Protection Commission - Nigeria Data Protection Act 2023. </w:t>
      </w:r>
      <w:hyperlink r:id="rId19">
        <w:r>
          <w:rPr>
            <w:color w:val="2E74B5"/>
            <w:u w:val="single"/>
          </w:rPr>
          <w:t>Open official source</w:t>
        </w:r>
      </w:hyperlink>
    </w:p>
    <w:p>
      <w:pPr>
        <w:spacing w:after="120"/>
      </w:pPr>
      <w:r>
        <w:rPr>
          <w:b/>
          <w:color w:val="102A43"/>
        </w:rPr>
        <w:t xml:space="preserve">S3. Nigeria Data Protection Commission - NDP Act objectives and official FAQs. </w:t>
      </w:r>
      <w:hyperlink r:id="rId20">
        <w:r>
          <w:rPr>
            <w:color w:val="2E74B5"/>
            <w:u w:val="single"/>
          </w:rPr>
          <w:t>Open official source</w:t>
        </w:r>
      </w:hyperlink>
    </w:p>
    <w:p>
      <w:pPr>
        <w:spacing w:after="120"/>
      </w:pPr>
      <w:r>
        <w:rPr>
          <w:b/>
          <w:color w:val="102A43"/>
        </w:rPr>
        <w:t xml:space="preserve">S4. Nigeria Data Protection Commission - official resources and current guidance register. </w:t>
      </w:r>
      <w:hyperlink r:id="rId21">
        <w:r>
          <w:rPr>
            <w:color w:val="2E74B5"/>
            <w:u w:val="single"/>
          </w:rPr>
          <w:t>Open official source</w:t>
        </w:r>
      </w:hyperlink>
    </w:p>
    <w:p>
      <w:pPr>
        <w:spacing w:after="120"/>
      </w:pPr>
      <w:r>
        <w:rPr>
          <w:b/>
          <w:color w:val="102A43"/>
        </w:rPr>
        <w:t xml:space="preserve">S5. Startup Nigeria - official Startup Support and Engagement Portal and Nigeria Startup Act overview. </w:t>
      </w:r>
      <w:hyperlink r:id="rId22">
        <w:r>
          <w:rPr>
            <w:color w:val="2E74B5"/>
            <w:u w:val="single"/>
          </w:rPr>
          <w:t>Open official source</w:t>
        </w:r>
      </w:hyperlink>
    </w:p>
    <w:p>
      <w:pPr>
        <w:spacing w:after="120"/>
      </w:pPr>
      <w:r>
        <w:rPr>
          <w:b/>
          <w:color w:val="102A43"/>
        </w:rPr>
        <w:t xml:space="preserve">S6. Startup Nigeria - current portal terms and labelled-startup obligations. </w:t>
      </w:r>
      <w:hyperlink r:id="rId23">
        <w:r>
          <w:rPr>
            <w:color w:val="2E74B5"/>
            <w:u w:val="single"/>
          </w:rPr>
          <w:t>Open official source</w:t>
        </w:r>
      </w:hyperlink>
    </w:p>
    <w:p>
      <w:pPr>
        <w:spacing w:after="120"/>
      </w:pPr>
      <w:r>
        <w:rPr>
          <w:b/>
          <w:color w:val="102A43"/>
        </w:rPr>
        <w:t xml:space="preserve">S7. Federal Competition and Consumer Protection Commission - official mandate. </w:t>
      </w:r>
      <w:hyperlink r:id="rId24">
        <w:r>
          <w:rPr>
            <w:color w:val="2E74B5"/>
            <w:u w:val="single"/>
          </w:rPr>
          <w:t>Open official source</w:t>
        </w:r>
      </w:hyperlink>
    </w:p>
    <w:p>
      <w:pPr>
        <w:spacing w:after="120"/>
      </w:pPr>
      <w:r>
        <w:rPr>
          <w:b/>
          <w:color w:val="102A43"/>
        </w:rPr>
        <w:t xml:space="preserve">S8. NIST Cybersecurity Framework 2.0. </w:t>
      </w:r>
      <w:hyperlink r:id="rId25">
        <w:r>
          <w:rPr>
            <w:color w:val="2E74B5"/>
            <w:u w:val="single"/>
          </w:rPr>
          <w:t>Open official source</w:t>
        </w:r>
      </w:hyperlink>
    </w:p>
    <w:p>
      <w:pPr>
        <w:spacing w:after="120"/>
      </w:pPr>
      <w:r>
        <w:rPr>
          <w:b/>
          <w:color w:val="102A43"/>
        </w:rPr>
        <w:t xml:space="preserve">S9. NIST AI Risk Management Framework - Generative AI Profile (NIST AI 600-1). </w:t>
      </w:r>
      <w:hyperlink r:id="rId26">
        <w:r>
          <w:rPr>
            <w:color w:val="2E74B5"/>
            <w:u w:val="single"/>
          </w:rPr>
          <w:t>Open official source</w:t>
        </w:r>
      </w:hyperlink>
    </w:p>
    <w:p>
      <w:pPr>
        <w:spacing w:after="120"/>
      </w:pPr>
      <w:r>
        <w:rPr>
          <w:b/>
          <w:color w:val="102A43"/>
        </w:rPr>
        <w:t xml:space="preserve">S10. CISA - Secure by Design principles and manufacturer responsibility. </w:t>
      </w:r>
      <w:hyperlink r:id="rId27">
        <w:r>
          <w:rPr>
            <w:color w:val="2E74B5"/>
            <w:u w:val="single"/>
          </w:rPr>
          <w:t>Open official source</w:t>
        </w:r>
      </w:hyperlink>
    </w:p>
    <w:p>
      <w:pPr>
        <w:spacing w:after="120"/>
      </w:pPr>
      <w:r>
        <w:rPr>
          <w:b/>
          <w:color w:val="102A43"/>
        </w:rPr>
        <w:t xml:space="preserve">S11. OWASP Application Security Verification Standard (ASVS). </w:t>
      </w:r>
      <w:hyperlink r:id="rId28">
        <w:r>
          <w:rPr>
            <w:color w:val="2E74B5"/>
            <w:u w:val="single"/>
          </w:rPr>
          <w:t>Open official source</w:t>
        </w:r>
      </w:hyperlink>
    </w:p>
    <w:p>
      <w:pPr>
        <w:spacing w:after="120"/>
      </w:pPr>
      <w:r>
        <w:rPr>
          <w:b/>
          <w:color w:val="102A43"/>
        </w:rPr>
        <w:t xml:space="preserve">S12. OWASP Agentic AI - Threats and Mitigations. </w:t>
      </w:r>
      <w:hyperlink r:id="rId29">
        <w:r>
          <w:rPr>
            <w:color w:val="2E74B5"/>
            <w:u w:val="single"/>
          </w:rPr>
          <w:t>Open official source</w:t>
        </w:r>
      </w:hyperlink>
    </w:p>
    <w:p>
      <w:pPr>
        <w:spacing w:after="120"/>
      </w:pPr>
      <w:r>
        <w:rPr>
          <w:b/>
          <w:color w:val="102A43"/>
        </w:rPr>
        <w:t xml:space="preserve">S13. OWASP Top 10 for Agentic Applications. </w:t>
      </w:r>
      <w:hyperlink r:id="rId30">
        <w:r>
          <w:rPr>
            <w:color w:val="2E74B5"/>
            <w:u w:val="single"/>
          </w:rPr>
          <w:t>Open official source</w:t>
        </w:r>
      </w:hyperlink>
    </w:p>
    <w:p>
      <w:pPr>
        <w:spacing w:after="120"/>
      </w:pPr>
      <w:r>
        <w:rPr>
          <w:b/>
          <w:color w:val="102A43"/>
        </w:rPr>
        <w:t xml:space="preserve">S14. OWASP IoT Security Verification Standard. </w:t>
      </w:r>
      <w:hyperlink r:id="rId31">
        <w:r>
          <w:rPr>
            <w:color w:val="2E74B5"/>
            <w:u w:val="single"/>
          </w:rPr>
          <w:t>Open official source</w:t>
        </w:r>
      </w:hyperlink>
    </w:p>
    <w:p>
      <w:pPr>
        <w:spacing w:after="120"/>
      </w:pPr>
      <w:r>
        <w:rPr>
          <w:b/>
          <w:color w:val="102A43"/>
        </w:rPr>
        <w:t xml:space="preserve">S15. Semantic Versioning 2.0.0. </w:t>
      </w:r>
      <w:hyperlink r:id="rId32">
        <w:r>
          <w:rPr>
            <w:color w:val="2E74B5"/>
            <w:u w:val="single"/>
          </w:rPr>
          <w:t>Open official source</w:t>
        </w:r>
      </w:hyperlink>
    </w:p>
    <w:p>
      <w:pPr>
        <w:spacing w:after="120"/>
      </w:pPr>
      <w:r>
        <w:rPr>
          <w:b/>
          <w:color w:val="102A43"/>
        </w:rPr>
        <w:t xml:space="preserve">S16. ISO/IEC 27001:2022 - Information security management systems. </w:t>
      </w:r>
      <w:hyperlink r:id="rId33">
        <w:r>
          <w:rPr>
            <w:color w:val="2E74B5"/>
            <w:u w:val="single"/>
          </w:rPr>
          <w:t>Open official source</w:t>
        </w:r>
      </w:hyperlink>
    </w:p>
    <w:p>
      <w:pPr>
        <w:spacing w:after="120"/>
      </w:pPr>
      <w:r>
        <w:rPr>
          <w:b/>
          <w:color w:val="102A43"/>
        </w:rPr>
        <w:t xml:space="preserve">S17. ISO/IEC 27701:2025 - Privacy information management systems. </w:t>
      </w:r>
      <w:hyperlink r:id="rId34">
        <w:r>
          <w:rPr>
            <w:color w:val="2E74B5"/>
            <w:u w:val="single"/>
          </w:rPr>
          <w:t>Open official source</w:t>
        </w:r>
      </w:hyperlink>
    </w:p>
    <w:p>
      <w:pPr>
        <w:spacing w:after="120"/>
      </w:pPr>
      <w:r>
        <w:rPr>
          <w:b/>
          <w:color w:val="102A43"/>
        </w:rPr>
        <w:t xml:space="preserve">S18. ISO 22301:2019 - Business continuity management systems. </w:t>
      </w:r>
      <w:hyperlink r:id="rId35">
        <w:r>
          <w:rPr>
            <w:color w:val="2E74B5"/>
            <w:u w:val="single"/>
          </w:rPr>
          <w:t>Open official source</w:t>
        </w:r>
      </w:hyperlink>
    </w:p>
    <w:p>
      <w:pPr>
        <w:spacing w:after="120"/>
      </w:pPr>
      <w:r>
        <w:rPr>
          <w:b/>
          <w:color w:val="102A43"/>
        </w:rPr>
        <w:t xml:space="preserve">S19. ISO/IEC 42001:2023 - Artificial intelligence management system. </w:t>
      </w:r>
      <w:hyperlink r:id="rId36">
        <w:r>
          <w:rPr>
            <w:color w:val="2E74B5"/>
            <w:u w:val="single"/>
          </w:rPr>
          <w:t>Open official source</w:t>
        </w:r>
      </w:hyperlink>
    </w:p>
    <w:p>
      <w:pPr>
        <w:spacing w:after="120"/>
      </w:pPr>
      <w:r>
        <w:rPr>
          <w:b/>
          <w:color w:val="102A43"/>
        </w:rPr>
        <w:t xml:space="preserve">S20. ISO 9001:2015 - Quality management systems (monitor the announced revision). </w:t>
      </w:r>
      <w:hyperlink r:id="rId37">
        <w:r>
          <w:rPr>
            <w:color w:val="2E74B5"/>
            <w:u w:val="single"/>
          </w:rPr>
          <w:t>Open official source</w:t>
        </w:r>
      </w:hyperlink>
    </w:p>
    <w:p>
      <w:pPr>
        <w:pStyle w:val="SmallNote"/>
      </w:pPr>
      <w:r>
        <w:t>All online sources were checked on 22 July 2026. Rihuum-specific corporate facts are company-supplied and board-approved; reconcile them to official records during Action A01/A02.</w:t>
      </w:r>
    </w:p>
    <w:p>
      <w:bookmarkStart w:id="42" w:name="appf"/>
      <w:pPr>
        <w:pStyle w:val="Heading1"/>
      </w:pPr>
      <w:r>
        <w:t>APPENDIX F | Glossary</w:t>
      </w:r>
      <w:bookmarkEnd w:id="42"/>
    </w:p>
    <w:p>
      <w:pPr>
        <w:pStyle w:val="Caption"/>
      </w:pPr>
      <w:r>
        <w:t>Table 58. Key terms</w:t>
      </w:r>
    </w:p>
    <w:tbl>
      <w:tblPr>
        <w:tblW w:type="dxa" w:w="9360"/>
        <w:jc w:val="left"/>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tblInd w:w="120" w:type="dxa"/>
      </w:tblPr>
      <w:tblGrid>
        <w:gridCol w:w="2100"/>
        <w:gridCol w:w="7260"/>
      </w:tblGrid>
      <w:tr>
        <w:trPr>
          <w:tblHeader w:val="true"/>
          <w:cantSplit/>
        </w:trPr>
        <w:tc>
          <w:tcPr>
            <w:tcW w:type="dxa" w:w="2100"/>
            <w:vAlign w:val="center"/>
            <w:shd w:fill="F2F4F7"/>
            <w:tcMar>
              <w:top w:w="80" w:type="dxa"/>
              <w:start w:w="120" w:type="dxa"/>
              <w:bottom w:w="80" w:type="dxa"/>
              <w:end w:w="120" w:type="dxa"/>
            </w:tcMar>
          </w:tcPr>
          <w:p>
            <w:pPr>
              <w:spacing w:before="0" w:after="0"/>
              <w:jc w:val="center"/>
            </w:pPr>
            <w:r>
              <w:rPr>
                <w:b/>
                <w:color w:val="102A43"/>
                <w:sz w:val="17"/>
              </w:rPr>
              <w:t>Term</w:t>
            </w:r>
          </w:p>
        </w:tc>
        <w:tc>
          <w:tcPr>
            <w:tcW w:type="dxa" w:w="7260"/>
            <w:vAlign w:val="center"/>
            <w:shd w:fill="F2F4F7"/>
            <w:tcMar>
              <w:top w:w="80" w:type="dxa"/>
              <w:start w:w="120" w:type="dxa"/>
              <w:bottom w:w="80" w:type="dxa"/>
              <w:end w:w="120" w:type="dxa"/>
            </w:tcMar>
          </w:tcPr>
          <w:p>
            <w:pPr>
              <w:spacing w:before="0" w:after="0"/>
              <w:jc w:val="left"/>
            </w:pPr>
            <w:r>
              <w:rPr>
                <w:b/>
                <w:color w:val="102A43"/>
                <w:sz w:val="17"/>
              </w:rPr>
              <w:t>Meaning in this blueprint</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ADR</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Architecture Decision Record: a controlled explanation of a consequential technical decision and its trade-offs.</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Agentic AI</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AI software that plans and performs multi-step work using knowledge, memory and tools within an authority model.</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API</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Application Programming Interface: a documented software contract for exchanging data or actions.</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BIA</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Business Impact Analysis: identification of priority activities, disruption impacts and recovery needs.</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CI/CD</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Automated continuous integration and controlled delivery/deployment of tested, traceable release artefacts.</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CRM</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Customer Relationship Management: account, contact, opportunity, activity, service and lifecycle records.</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DPIA</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Data Protection Impact Assessment for processing likely to create high privacy risk.</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ERP</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Enterprise Resource Planning: integrated operational and financial processes such as procurement, inventory and projects.</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Feature flag</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A governed switch that enables controlled rollout or shutdown of a capability without changing the release artefact.</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GA</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General Availability: a product/feature that is priced, documented, supported and approved for production use.</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HRIS</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Human Resources Information System for workforce records, processes and reporting.</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IAM</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Identity and Access Management for accounts, authentication, roles, permissions and lifecycle.</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Idempotent</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Safe to retry without causing unintended duplicate effects.</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LMS</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Learning Management System for programmes, content, cohorts, assessment and learner administration.</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Modular monolith</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One deployable application whose internal business modules have explicit boundaries and contracts.</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Multi-tenancy</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One platform serving multiple organisations while enforcing tenant-specific data, access and configuration.</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PWA</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Progressive Web Application: a responsive web experience that can support app-like capabilities where appropriate.</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RIA</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Rihuum Intelligence Architecture: the governed AI/model, knowledge, agent, tool, approval, evaluation and audit layer.</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RME</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Rihuum Master Enterprises: Rihuum's shared multi-tenant enterprise core and product control plane for identity, tenancy, master records, workflow, commercial controls, integrations, audit, support and product lifecycle operations.</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Rihuum OS</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Rihuum's unified enterprise and industry operating experience and product family powered by RME; initially a business platform, not a desktop OS.</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RPO</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Recovery Point Objective: target maximum period of data loss after disruption.</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RTO</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Recovery Time Objective: target time to restore an activity or service after disruption.</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SBOM</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Software Bill of Materials: inventory of software components in a release.</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SemVer</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Semantic Versioning using MAJOR.MINOR.PATCH rules for a declared public interface.</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SLA</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Service Level Agreement: contractual service commitments and remedies within a defined scope.</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Tenant</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An organisation/customer boundary within a shared platform.</w:t>
            </w:r>
          </w:p>
        </w:tc>
      </w:tr>
      <w:tr>
        <w:trPr>
          <w:cantSplit/>
        </w:trPr>
        <w:tc>
          <w:tcPr>
            <w:tcW w:type="dxa" w:w="2100"/>
            <w:vAlign w:val="center"/>
            <w:tcMar>
              <w:top w:w="80" w:type="dxa"/>
              <w:start w:w="120" w:type="dxa"/>
              <w:bottom w:w="80" w:type="dxa"/>
              <w:end w:w="120" w:type="dxa"/>
            </w:tcMar>
          </w:tcPr>
          <w:p>
            <w:pPr>
              <w:spacing w:before="0" w:after="20" w:line="252" w:lineRule="auto"/>
              <w:jc w:val="left"/>
            </w:pPr>
            <w:r>
              <w:rPr>
                <w:color w:val="1D2733"/>
                <w:sz w:val="16"/>
              </w:rPr>
              <w:t>Thin slice</w:t>
            </w:r>
          </w:p>
        </w:tc>
        <w:tc>
          <w:tcPr>
            <w:tcW w:type="dxa" w:w="7260"/>
            <w:vAlign w:val="center"/>
            <w:tcMar>
              <w:top w:w="80" w:type="dxa"/>
              <w:start w:w="120" w:type="dxa"/>
              <w:bottom w:w="80" w:type="dxa"/>
              <w:end w:w="120" w:type="dxa"/>
            </w:tcMar>
          </w:tcPr>
          <w:p>
            <w:pPr>
              <w:spacing w:before="0" w:after="20" w:line="252" w:lineRule="auto"/>
              <w:jc w:val="left"/>
            </w:pPr>
            <w:r>
              <w:rPr>
                <w:color w:val="1D2733"/>
                <w:sz w:val="16"/>
              </w:rPr>
              <w:t>The smallest end-to-end capability that can be used and evaluated across interface, logic, data and operations.</w:t>
            </w:r>
          </w:p>
        </w:tc>
      </w:tr>
      <w:tr>
        <w:trPr>
          <w:cantSplit/>
        </w:trPr>
        <w:tc>
          <w:tcPr>
            <w:tcW w:type="dxa" w:w="2100"/>
            <w:vAlign w:val="center"/>
            <w:shd w:fill="FAFBFC"/>
            <w:tcMar>
              <w:top w:w="80" w:type="dxa"/>
              <w:start w:w="120" w:type="dxa"/>
              <w:bottom w:w="80" w:type="dxa"/>
              <w:end w:w="120" w:type="dxa"/>
            </w:tcMar>
          </w:tcPr>
          <w:p>
            <w:pPr>
              <w:spacing w:before="0" w:after="20" w:line="252" w:lineRule="auto"/>
              <w:jc w:val="left"/>
            </w:pPr>
            <w:r>
              <w:rPr>
                <w:color w:val="1D2733"/>
                <w:sz w:val="16"/>
              </w:rPr>
              <w:t>UAT</w:t>
            </w:r>
          </w:p>
        </w:tc>
        <w:tc>
          <w:tcPr>
            <w:tcW w:type="dxa" w:w="7260"/>
            <w:vAlign w:val="center"/>
            <w:shd w:fill="FAFBFC"/>
            <w:tcMar>
              <w:top w:w="80" w:type="dxa"/>
              <w:start w:w="120" w:type="dxa"/>
              <w:bottom w:w="80" w:type="dxa"/>
              <w:end w:w="120" w:type="dxa"/>
            </w:tcMar>
          </w:tcPr>
          <w:p>
            <w:pPr>
              <w:spacing w:before="0" w:after="20" w:line="252" w:lineRule="auto"/>
              <w:jc w:val="left"/>
            </w:pPr>
            <w:r>
              <w:rPr>
                <w:color w:val="1D2733"/>
                <w:sz w:val="16"/>
              </w:rPr>
              <w:t>User Acceptance Testing: recorded validation that the solution meets agreed business needs.</w:t>
            </w:r>
          </w:p>
        </w:tc>
      </w:tr>
    </w:tbl>
    <w:p>
      <w:bookmarkStart w:id="43" w:name="appg"/>
      <w:pPr>
        <w:pStyle w:val="Heading1"/>
      </w:pPr>
      <w:r>
        <w:t>APPENDIX G | Open Decisions and Verification Register</w:t>
      </w:r>
      <w:bookmarkEnd w:id="43"/>
    </w:p>
    <w:p>
      <w:pPr>
        <w:pStyle w:val="LeadCallout"/>
        <w:shd w:fill="F4F6F9"/>
        <w:pBdr>
          <w:left w:val="single" w:sz="18" w:space="8" w:color="C99A2E"/>
        </w:pBdr>
      </w:pPr>
      <w:r>
        <w:rPr>
          <w:b/>
          <w:color w:val="102A43"/>
        </w:rPr>
        <w:t xml:space="preserve">Control: </w:t>
      </w:r>
      <w:r>
        <w:t>The blueprint is complete without guessing unknown facts. The items below must be resolved through authorised company records, budgets, advisers or measured baselines and then inserted through controlled document change.</w:t>
      </w:r>
    </w:p>
    <w:p>
      <w:pPr>
        <w:pStyle w:val="Caption"/>
      </w:pPr>
      <w:r>
        <w:t>Table 59. Open items</w:t>
      </w:r>
    </w:p>
    <w:tbl>
      <w:tblPr>
        <w:tblW w:type="dxa" w:w="9360"/>
        <w:tblLayout w:type="fixed"/>
        <w:tblLook w:firstColumn="1" w:firstRow="1" w:lastColumn="0" w:lastRow="0" w:noHBand="0" w:noVBand="1" w:val="04A0"/>
        <w:tblBorders>
          <w:top w:val="single" w:sz="6" w:color="D0D5DD"/>
          <w:left w:val="single" w:sz="6" w:color="D0D5DD"/>
          <w:bottom w:val="single" w:sz="6" w:color="D0D5DD"/>
          <w:right w:val="single" w:sz="6" w:color="D0D5DD"/>
          <w:insideH w:val="single" w:sz="6" w:color="D0D5DD"/>
          <w:insideV w:val="single" w:sz="6" w:color="D0D5DD"/>
        </w:tblBorders>
        <w:jc w:val="center"/>
        <w:tblInd w:w="120" w:type="dxa"/>
      </w:tblPr>
      <w:tblGrid>
        <w:gridCol w:w="700"/>
        <w:gridCol w:w="3300"/>
        <w:gridCol w:w="2750"/>
        <w:gridCol w:w="1350"/>
        <w:gridCol w:w="1260"/>
      </w:tblGrid>
      <w:tr>
        <w:trPr>
          <w:tblHeader w:val="true"/>
          <w:cantSplit/>
        </w:trPr>
        <w:tc>
          <w:tcPr>
            <w:tcW w:type="dxa" w:w="700"/>
            <w:vAlign w:val="center"/>
            <w:shd w:fill="F2F4F7"/>
            <w:tcMar>
              <w:top w:w="90" w:type="dxa"/>
              <w:start w:w="100" w:type="dxa"/>
              <w:bottom w:w="90" w:type="dxa"/>
              <w:end w:w="100" w:type="dxa"/>
            </w:tcMar>
          </w:tcPr>
          <w:p>
            <w:pPr>
              <w:spacing w:before="0" w:after="0"/>
              <w:jc w:val="center"/>
            </w:pPr>
            <w:r>
              <w:rPr>
                <w:b/>
                <w:color w:val="102A43"/>
                <w:sz w:val="17"/>
              </w:rPr>
              <w:t>ID</w:t>
            </w:r>
          </w:p>
        </w:tc>
        <w:tc>
          <w:tcPr>
            <w:tcW w:type="dxa" w:w="3300"/>
            <w:vAlign w:val="center"/>
            <w:shd w:fill="F2F4F7"/>
            <w:tcMar>
              <w:top w:w="90" w:type="dxa"/>
              <w:start w:w="100" w:type="dxa"/>
              <w:bottom w:w="90" w:type="dxa"/>
              <w:end w:w="100" w:type="dxa"/>
            </w:tcMar>
          </w:tcPr>
          <w:p>
            <w:pPr>
              <w:spacing w:before="0" w:after="0"/>
              <w:jc w:val="center"/>
            </w:pPr>
            <w:r>
              <w:rPr>
                <w:b/>
                <w:color w:val="102A43"/>
                <w:sz w:val="17"/>
              </w:rPr>
              <w:t>Item</w:t>
            </w:r>
          </w:p>
        </w:tc>
        <w:tc>
          <w:tcPr>
            <w:tcW w:type="dxa" w:w="2750"/>
            <w:vAlign w:val="center"/>
            <w:shd w:fill="F2F4F7"/>
            <w:tcMar>
              <w:top w:w="90" w:type="dxa"/>
              <w:start w:w="100" w:type="dxa"/>
              <w:bottom w:w="90" w:type="dxa"/>
              <w:end w:w="100" w:type="dxa"/>
            </w:tcMar>
          </w:tcPr>
          <w:p>
            <w:pPr>
              <w:spacing w:before="0" w:after="0"/>
              <w:jc w:val="left"/>
            </w:pPr>
            <w:r>
              <w:rPr>
                <w:b/>
                <w:color w:val="102A43"/>
                <w:sz w:val="17"/>
              </w:rPr>
              <w:t>Required source/decision</w:t>
            </w:r>
          </w:p>
        </w:tc>
        <w:tc>
          <w:tcPr>
            <w:tcW w:type="dxa" w:w="1350"/>
            <w:vAlign w:val="center"/>
            <w:shd w:fill="F2F4F7"/>
            <w:tcMar>
              <w:top w:w="90" w:type="dxa"/>
              <w:start w:w="100" w:type="dxa"/>
              <w:bottom w:w="90" w:type="dxa"/>
              <w:end w:w="100" w:type="dxa"/>
            </w:tcMar>
          </w:tcPr>
          <w:p>
            <w:pPr>
              <w:spacing w:before="0" w:after="0"/>
              <w:jc w:val="center"/>
            </w:pPr>
            <w:r>
              <w:rPr>
                <w:b/>
                <w:color w:val="102A43"/>
                <w:sz w:val="17"/>
              </w:rPr>
              <w:t>Owner</w:t>
            </w:r>
          </w:p>
        </w:tc>
        <w:tc>
          <w:tcPr>
            <w:tcW w:type="dxa" w:w="1260"/>
            <w:vAlign w:val="center"/>
            <w:shd w:fill="F2F4F7"/>
            <w:tcMar>
              <w:top w:w="90" w:type="dxa"/>
              <w:start w:w="100" w:type="dxa"/>
              <w:bottom w:w="90" w:type="dxa"/>
              <w:end w:w="100" w:type="dxa"/>
            </w:tcMar>
          </w:tcPr>
          <w:p>
            <w:pPr>
              <w:spacing w:before="0" w:after="0"/>
              <w:jc w:val="center"/>
            </w:pPr>
            <w:r>
              <w:rPr>
                <w:b/>
                <w:color w:val="102A43"/>
                <w:sz w:val="17"/>
              </w:rPr>
              <w:t>Target</w:t>
            </w:r>
          </w:p>
        </w:tc>
      </w:tr>
      <w:tr>
        <w:trPr>
          <w:cantSplit/>
        </w:trPr>
        <w:tc>
          <w:tcPr>
            <w:tcW w:type="dxa" w:w="700"/>
            <w:vAlign w:val="center"/>
            <w:tcMar>
              <w:top w:w="90" w:type="dxa"/>
              <w:start w:w="100" w:type="dxa"/>
              <w:bottom w:w="90" w:type="dxa"/>
              <w:end w:w="100" w:type="dxa"/>
            </w:tcMar>
          </w:tcPr>
          <w:p>
            <w:pPr>
              <w:spacing w:before="0" w:after="20" w:line="252" w:lineRule="auto"/>
              <w:jc w:val="left"/>
            </w:pPr>
            <w:r>
              <w:rPr>
                <w:color w:val="1D2733"/>
                <w:sz w:val="16"/>
              </w:rPr>
              <w:t>V01</w:t>
            </w:r>
          </w:p>
        </w:tc>
        <w:tc>
          <w:tcPr>
            <w:tcW w:type="dxa" w:w="3300"/>
            <w:vAlign w:val="center"/>
            <w:tcMar>
              <w:top w:w="90" w:type="dxa"/>
              <w:start w:w="100" w:type="dxa"/>
              <w:bottom w:w="90" w:type="dxa"/>
              <w:end w:w="100" w:type="dxa"/>
            </w:tcMar>
          </w:tcPr>
          <w:p>
            <w:pPr>
              <w:spacing w:before="0" w:after="20" w:line="252" w:lineRule="auto"/>
              <w:jc w:val="left"/>
            </w:pPr>
            <w:r>
              <w:rPr>
                <w:color w:val="1D2733"/>
                <w:sz w:val="16"/>
              </w:rPr>
              <w:t>Rihuum Technology and Digital Hub exact CAC registration number/legal form</w:t>
            </w:r>
          </w:p>
        </w:tc>
        <w:tc>
          <w:tcPr>
            <w:tcW w:type="dxa" w:w="2750"/>
            <w:vAlign w:val="center"/>
            <w:tcMar>
              <w:top w:w="90" w:type="dxa"/>
              <w:start w:w="100" w:type="dxa"/>
              <w:bottom w:w="90" w:type="dxa"/>
              <w:end w:w="100" w:type="dxa"/>
            </w:tcMar>
          </w:tcPr>
          <w:p>
            <w:pPr>
              <w:spacing w:before="0" w:after="20" w:line="252" w:lineRule="auto"/>
              <w:jc w:val="left"/>
            </w:pPr>
            <w:r>
              <w:rPr>
                <w:color w:val="1D2733"/>
                <w:sz w:val="16"/>
              </w:rPr>
              <w:t>CAC certificate/profile and company-secretary verification</w:t>
            </w:r>
          </w:p>
        </w:tc>
        <w:tc>
          <w:tcPr>
            <w:tcW w:type="dxa" w:w="1350"/>
            <w:vAlign w:val="center"/>
            <w:tcMar>
              <w:top w:w="90" w:type="dxa"/>
              <w:start w:w="100" w:type="dxa"/>
              <w:bottom w:w="90" w:type="dxa"/>
              <w:end w:w="100" w:type="dxa"/>
            </w:tcMar>
          </w:tcPr>
          <w:p>
            <w:pPr>
              <w:spacing w:before="0" w:after="20" w:line="252" w:lineRule="auto"/>
              <w:jc w:val="left"/>
            </w:pPr>
            <w:r>
              <w:rPr>
                <w:color w:val="1D2733"/>
                <w:sz w:val="16"/>
              </w:rPr>
              <w:t>Company Secretary</w:t>
            </w:r>
          </w:p>
        </w:tc>
        <w:tc>
          <w:tcPr>
            <w:tcW w:type="dxa" w:w="1260"/>
            <w:vAlign w:val="center"/>
            <w:tcMar>
              <w:top w:w="90" w:type="dxa"/>
              <w:start w:w="100" w:type="dxa"/>
              <w:bottom w:w="90" w:type="dxa"/>
              <w:end w:w="100" w:type="dxa"/>
            </w:tcMar>
          </w:tcPr>
          <w:p>
            <w:pPr>
              <w:spacing w:before="0" w:after="20" w:line="252" w:lineRule="auto"/>
              <w:jc w:val="center"/>
            </w:pPr>
            <w:r>
              <w:rPr>
                <w:color w:val="1D2733"/>
                <w:sz w:val="16"/>
              </w:rPr>
              <w:t>Day 15</w:t>
            </w:r>
          </w:p>
        </w:tc>
      </w:tr>
      <w:tr>
        <w:trPr>
          <w:cantSplit/>
        </w:trPr>
        <w:tc>
          <w:tcPr>
            <w:tcW w:type="dxa" w:w="700"/>
            <w:vAlign w:val="center"/>
            <w:shd w:fill="FAFBFC"/>
            <w:tcMar>
              <w:top w:w="90" w:type="dxa"/>
              <w:start w:w="100" w:type="dxa"/>
              <w:bottom w:w="90" w:type="dxa"/>
              <w:end w:w="100" w:type="dxa"/>
            </w:tcMar>
          </w:tcPr>
          <w:p>
            <w:pPr>
              <w:spacing w:before="0" w:after="20" w:line="252" w:lineRule="auto"/>
              <w:jc w:val="left"/>
            </w:pPr>
            <w:r>
              <w:rPr>
                <w:color w:val="1D2733"/>
                <w:sz w:val="16"/>
              </w:rPr>
              <w:t>V02</w:t>
            </w:r>
          </w:p>
        </w:tc>
        <w:tc>
          <w:tcPr>
            <w:tcW w:type="dxa" w:w="3300"/>
            <w:vAlign w:val="center"/>
            <w:shd w:fill="FAFBFC"/>
            <w:tcMar>
              <w:top w:w="90" w:type="dxa"/>
              <w:start w:w="100" w:type="dxa"/>
              <w:bottom w:w="90" w:type="dxa"/>
              <w:end w:w="100" w:type="dxa"/>
            </w:tcMar>
          </w:tcPr>
          <w:p>
            <w:pPr>
              <w:spacing w:before="0" w:after="20" w:line="252" w:lineRule="auto"/>
              <w:jc w:val="left"/>
            </w:pPr>
            <w:r>
              <w:rPr>
                <w:color w:val="1D2733"/>
                <w:sz w:val="16"/>
              </w:rPr>
              <w:t>Exact registered street address, public correspondence address and Google Maps Place ID</w:t>
            </w:r>
          </w:p>
        </w:tc>
        <w:tc>
          <w:tcPr>
            <w:tcW w:type="dxa" w:w="2750"/>
            <w:vAlign w:val="center"/>
            <w:shd w:fill="FAFBFC"/>
            <w:tcMar>
              <w:top w:w="90" w:type="dxa"/>
              <w:start w:w="100" w:type="dxa"/>
              <w:bottom w:w="90" w:type="dxa"/>
              <w:end w:w="100" w:type="dxa"/>
            </w:tcMar>
          </w:tcPr>
          <w:p>
            <w:pPr>
              <w:spacing w:before="0" w:after="20" w:line="252" w:lineRule="auto"/>
              <w:jc w:val="left"/>
            </w:pPr>
            <w:r>
              <w:rPr>
                <w:color w:val="1D2733"/>
                <w:sz w:val="16"/>
              </w:rPr>
              <w:t>Abuja, Nigeria is confirmed only as the registered locality; verify the precise address and Place ID from CAC/board-approved and Google records.</w:t>
            </w:r>
          </w:p>
        </w:tc>
        <w:tc>
          <w:tcPr>
            <w:tcW w:type="dxa" w:w="1350"/>
            <w:vAlign w:val="center"/>
            <w:shd w:fill="FAFBFC"/>
            <w:tcMar>
              <w:top w:w="90" w:type="dxa"/>
              <w:start w:w="100" w:type="dxa"/>
              <w:bottom w:w="90" w:type="dxa"/>
              <w:end w:w="100" w:type="dxa"/>
            </w:tcMar>
          </w:tcPr>
          <w:p>
            <w:pPr>
              <w:spacing w:before="0" w:after="20" w:line="252" w:lineRule="auto"/>
              <w:jc w:val="left"/>
            </w:pPr>
            <w:r>
              <w:rPr>
                <w:color w:val="1D2733"/>
                <w:sz w:val="16"/>
              </w:rPr>
              <w:t>Company Secretary</w:t>
            </w:r>
          </w:p>
        </w:tc>
        <w:tc>
          <w:tcPr>
            <w:tcW w:type="dxa" w:w="1260"/>
            <w:vAlign w:val="center"/>
            <w:shd w:fill="FAFBFC"/>
            <w:tcMar>
              <w:top w:w="90" w:type="dxa"/>
              <w:start w:w="100" w:type="dxa"/>
              <w:bottom w:w="90" w:type="dxa"/>
              <w:end w:w="100" w:type="dxa"/>
            </w:tcMar>
          </w:tcPr>
          <w:p>
            <w:pPr>
              <w:spacing w:before="0" w:after="20" w:line="252" w:lineRule="auto"/>
              <w:jc w:val="center"/>
            </w:pPr>
            <w:r>
              <w:rPr>
                <w:color w:val="1D2733"/>
                <w:sz w:val="16"/>
              </w:rPr>
              <w:t>Day 15</w:t>
            </w:r>
          </w:p>
        </w:tc>
      </w:tr>
      <w:tr>
        <w:trPr>
          <w:cantSplit/>
        </w:trPr>
        <w:tc>
          <w:tcPr>
            <w:tcW w:type="dxa" w:w="700"/>
            <w:vAlign w:val="center"/>
            <w:tcMar>
              <w:top w:w="90" w:type="dxa"/>
              <w:start w:w="100" w:type="dxa"/>
              <w:bottom w:w="90" w:type="dxa"/>
              <w:end w:w="100" w:type="dxa"/>
            </w:tcMar>
          </w:tcPr>
          <w:p>
            <w:pPr>
              <w:spacing w:before="0" w:after="20" w:line="252" w:lineRule="auto"/>
              <w:jc w:val="left"/>
            </w:pPr>
            <w:r>
              <w:rPr>
                <w:color w:val="1D2733"/>
                <w:sz w:val="16"/>
              </w:rPr>
              <w:t>V03</w:t>
            </w:r>
          </w:p>
        </w:tc>
        <w:tc>
          <w:tcPr>
            <w:tcW w:type="dxa" w:w="3300"/>
            <w:vAlign w:val="center"/>
            <w:tcMar>
              <w:top w:w="90" w:type="dxa"/>
              <w:start w:w="100" w:type="dxa"/>
              <w:bottom w:w="90" w:type="dxa"/>
              <w:end w:w="100" w:type="dxa"/>
            </w:tcMar>
          </w:tcPr>
          <w:p>
            <w:pPr>
              <w:spacing w:before="0" w:after="20" w:line="252" w:lineRule="auto"/>
              <w:jc w:val="left"/>
            </w:pPr>
            <w:r>
              <w:rPr>
                <w:color w:val="1D2733"/>
                <w:sz w:val="16"/>
              </w:rPr>
              <w:t>Current directors, shareholders, beneficial owners and statutory filing status</w:t>
            </w:r>
          </w:p>
        </w:tc>
        <w:tc>
          <w:tcPr>
            <w:tcW w:type="dxa" w:w="2750"/>
            <w:vAlign w:val="center"/>
            <w:tcMar>
              <w:top w:w="90" w:type="dxa"/>
              <w:start w:w="100" w:type="dxa"/>
              <w:bottom w:w="90" w:type="dxa"/>
              <w:end w:w="100" w:type="dxa"/>
            </w:tcMar>
          </w:tcPr>
          <w:p>
            <w:pPr>
              <w:spacing w:before="0" w:after="20" w:line="252" w:lineRule="auto"/>
              <w:jc w:val="left"/>
            </w:pPr>
            <w:r>
              <w:rPr>
                <w:color w:val="1D2733"/>
                <w:sz w:val="16"/>
              </w:rPr>
              <w:t>Corporate registers and CAC reconciliation</w:t>
            </w:r>
          </w:p>
        </w:tc>
        <w:tc>
          <w:tcPr>
            <w:tcW w:type="dxa" w:w="1350"/>
            <w:vAlign w:val="center"/>
            <w:tcMar>
              <w:top w:w="90" w:type="dxa"/>
              <w:start w:w="100" w:type="dxa"/>
              <w:bottom w:w="90" w:type="dxa"/>
              <w:end w:w="100" w:type="dxa"/>
            </w:tcMar>
          </w:tcPr>
          <w:p>
            <w:pPr>
              <w:spacing w:before="0" w:after="20" w:line="252" w:lineRule="auto"/>
              <w:jc w:val="left"/>
            </w:pPr>
            <w:r>
              <w:rPr>
                <w:color w:val="1D2733"/>
                <w:sz w:val="16"/>
              </w:rPr>
              <w:t>Company Secretary</w:t>
            </w:r>
          </w:p>
        </w:tc>
        <w:tc>
          <w:tcPr>
            <w:tcW w:type="dxa" w:w="1260"/>
            <w:vAlign w:val="center"/>
            <w:tcMar>
              <w:top w:w="90" w:type="dxa"/>
              <w:start w:w="100" w:type="dxa"/>
              <w:bottom w:w="90" w:type="dxa"/>
              <w:end w:w="100" w:type="dxa"/>
            </w:tcMar>
          </w:tcPr>
          <w:p>
            <w:pPr>
              <w:spacing w:before="0" w:after="20" w:line="252" w:lineRule="auto"/>
              <w:jc w:val="center"/>
            </w:pPr>
            <w:r>
              <w:rPr>
                <w:color w:val="1D2733"/>
                <w:sz w:val="16"/>
              </w:rPr>
              <w:t>Day 15</w:t>
            </w:r>
          </w:p>
        </w:tc>
      </w:tr>
      <w:tr>
        <w:trPr>
          <w:cantSplit/>
        </w:trPr>
        <w:tc>
          <w:tcPr>
            <w:tcW w:type="dxa" w:w="700"/>
            <w:vAlign w:val="center"/>
            <w:shd w:fill="FAFBFC"/>
            <w:tcMar>
              <w:top w:w="90" w:type="dxa"/>
              <w:start w:w="100" w:type="dxa"/>
              <w:bottom w:w="90" w:type="dxa"/>
              <w:end w:w="100" w:type="dxa"/>
            </w:tcMar>
          </w:tcPr>
          <w:p>
            <w:pPr>
              <w:spacing w:before="0" w:after="20" w:line="252" w:lineRule="auto"/>
              <w:jc w:val="left"/>
            </w:pPr>
            <w:r>
              <w:rPr>
                <w:color w:val="1D2733"/>
                <w:sz w:val="16"/>
              </w:rPr>
              <w:t>V04</w:t>
            </w:r>
          </w:p>
        </w:tc>
        <w:tc>
          <w:tcPr>
            <w:tcW w:type="dxa" w:w="3300"/>
            <w:vAlign w:val="center"/>
            <w:shd w:fill="FAFBFC"/>
            <w:tcMar>
              <w:top w:w="90" w:type="dxa"/>
              <w:start w:w="100" w:type="dxa"/>
              <w:bottom w:w="90" w:type="dxa"/>
              <w:end w:w="100" w:type="dxa"/>
            </w:tcMar>
          </w:tcPr>
          <w:p>
            <w:pPr>
              <w:spacing w:before="0" w:after="20" w:line="252" w:lineRule="auto"/>
              <w:jc w:val="left"/>
            </w:pPr>
            <w:r>
              <w:rPr>
                <w:color w:val="1D2733"/>
                <w:sz w:val="16"/>
              </w:rPr>
              <w:t>Tax identifiers, filing status and applicable tax treatment</w:t>
            </w:r>
          </w:p>
        </w:tc>
        <w:tc>
          <w:tcPr>
            <w:tcW w:type="dxa" w:w="2750"/>
            <w:vAlign w:val="center"/>
            <w:shd w:fill="FAFBFC"/>
            <w:tcMar>
              <w:top w:w="90" w:type="dxa"/>
              <w:start w:w="100" w:type="dxa"/>
              <w:bottom w:w="90" w:type="dxa"/>
              <w:end w:w="100" w:type="dxa"/>
            </w:tcMar>
          </w:tcPr>
          <w:p>
            <w:pPr>
              <w:spacing w:before="0" w:after="20" w:line="252" w:lineRule="auto"/>
              <w:jc w:val="left"/>
            </w:pPr>
            <w:r>
              <w:rPr>
                <w:color w:val="1D2733"/>
                <w:sz w:val="16"/>
              </w:rPr>
              <w:t>Qualified tax adviser and authority records</w:t>
            </w:r>
          </w:p>
        </w:tc>
        <w:tc>
          <w:tcPr>
            <w:tcW w:type="dxa" w:w="1350"/>
            <w:vAlign w:val="center"/>
            <w:shd w:fill="FAFBFC"/>
            <w:tcMar>
              <w:top w:w="90" w:type="dxa"/>
              <w:start w:w="100" w:type="dxa"/>
              <w:bottom w:w="90" w:type="dxa"/>
              <w:end w:w="100" w:type="dxa"/>
            </w:tcMar>
          </w:tcPr>
          <w:p>
            <w:pPr>
              <w:spacing w:before="0" w:after="20" w:line="252" w:lineRule="auto"/>
              <w:jc w:val="center"/>
            </w:pPr>
            <w:r>
              <w:rPr>
                <w:color w:val="1D2733"/>
                <w:sz w:val="16"/>
              </w:rPr>
              <w:t>Finance</w:t>
            </w:r>
          </w:p>
        </w:tc>
        <w:tc>
          <w:tcPr>
            <w:tcW w:type="dxa" w:w="1260"/>
            <w:vAlign w:val="center"/>
            <w:shd w:fill="FAFBFC"/>
            <w:tcMar>
              <w:top w:w="90" w:type="dxa"/>
              <w:start w:w="100" w:type="dxa"/>
              <w:bottom w:w="90" w:type="dxa"/>
              <w:end w:w="100" w:type="dxa"/>
            </w:tcMar>
          </w:tcPr>
          <w:p>
            <w:pPr>
              <w:spacing w:before="0" w:after="20" w:line="252" w:lineRule="auto"/>
              <w:jc w:val="center"/>
            </w:pPr>
            <w:r>
              <w:rPr>
                <w:color w:val="1D2733"/>
                <w:sz w:val="16"/>
              </w:rPr>
              <w:t>Day 30</w:t>
            </w:r>
          </w:p>
        </w:tc>
      </w:tr>
      <w:tr>
        <w:trPr>
          <w:cantSplit/>
        </w:trPr>
        <w:tc>
          <w:tcPr>
            <w:tcW w:type="dxa" w:w="700"/>
            <w:vAlign w:val="center"/>
            <w:tcMar>
              <w:top w:w="90" w:type="dxa"/>
              <w:start w:w="100" w:type="dxa"/>
              <w:bottom w:w="90" w:type="dxa"/>
              <w:end w:w="100" w:type="dxa"/>
            </w:tcMar>
          </w:tcPr>
          <w:p>
            <w:pPr>
              <w:spacing w:before="0" w:after="20" w:line="252" w:lineRule="auto"/>
              <w:jc w:val="left"/>
            </w:pPr>
            <w:r>
              <w:rPr>
                <w:color w:val="1D2733"/>
                <w:sz w:val="16"/>
              </w:rPr>
              <w:t>V05</w:t>
            </w:r>
          </w:p>
        </w:tc>
        <w:tc>
          <w:tcPr>
            <w:tcW w:type="dxa" w:w="3300"/>
            <w:vAlign w:val="center"/>
            <w:tcMar>
              <w:top w:w="90" w:type="dxa"/>
              <w:start w:w="100" w:type="dxa"/>
              <w:bottom w:w="90" w:type="dxa"/>
              <w:end w:w="100" w:type="dxa"/>
            </w:tcMar>
          </w:tcPr>
          <w:p>
            <w:pPr>
              <w:spacing w:before="0" w:after="20" w:line="252" w:lineRule="auto"/>
              <w:jc w:val="left"/>
            </w:pPr>
            <w:r>
              <w:rPr>
                <w:color w:val="1D2733"/>
                <w:sz w:val="16"/>
              </w:rPr>
              <w:t>Trademark/IP registrations and chain of title for logo, software, content and domains</w:t>
            </w:r>
          </w:p>
        </w:tc>
        <w:tc>
          <w:tcPr>
            <w:tcW w:type="dxa" w:w="2750"/>
            <w:vAlign w:val="center"/>
            <w:tcMar>
              <w:top w:w="90" w:type="dxa"/>
              <w:start w:w="100" w:type="dxa"/>
              <w:bottom w:w="90" w:type="dxa"/>
              <w:end w:w="100" w:type="dxa"/>
            </w:tcMar>
          </w:tcPr>
          <w:p>
            <w:pPr>
              <w:spacing w:before="0" w:after="20" w:line="252" w:lineRule="auto"/>
              <w:jc w:val="left"/>
            </w:pPr>
            <w:r>
              <w:rPr>
                <w:color w:val="1D2733"/>
                <w:sz w:val="16"/>
              </w:rPr>
              <w:t>IP audit, assignments and official searches</w:t>
            </w:r>
          </w:p>
        </w:tc>
        <w:tc>
          <w:tcPr>
            <w:tcW w:type="dxa" w:w="1350"/>
            <w:vAlign w:val="center"/>
            <w:tcMar>
              <w:top w:w="90" w:type="dxa"/>
              <w:start w:w="100" w:type="dxa"/>
              <w:bottom w:w="90" w:type="dxa"/>
              <w:end w:w="100" w:type="dxa"/>
            </w:tcMar>
          </w:tcPr>
          <w:p>
            <w:pPr>
              <w:spacing w:before="0" w:after="20" w:line="252" w:lineRule="auto"/>
              <w:jc w:val="center"/>
            </w:pPr>
            <w:r>
              <w:rPr>
                <w:color w:val="1D2733"/>
                <w:sz w:val="16"/>
              </w:rPr>
              <w:t>Legal / CTO</w:t>
            </w:r>
          </w:p>
        </w:tc>
        <w:tc>
          <w:tcPr>
            <w:tcW w:type="dxa" w:w="1260"/>
            <w:vAlign w:val="center"/>
            <w:tcMar>
              <w:top w:w="90" w:type="dxa"/>
              <w:start w:w="100" w:type="dxa"/>
              <w:bottom w:w="90" w:type="dxa"/>
              <w:end w:w="100" w:type="dxa"/>
            </w:tcMar>
          </w:tcPr>
          <w:p>
            <w:pPr>
              <w:spacing w:before="0" w:after="20" w:line="252" w:lineRule="auto"/>
              <w:jc w:val="center"/>
            </w:pPr>
            <w:r>
              <w:rPr>
                <w:color w:val="1D2733"/>
                <w:sz w:val="16"/>
              </w:rPr>
              <w:t>Day 45</w:t>
            </w:r>
          </w:p>
        </w:tc>
      </w:tr>
      <w:tr>
        <w:trPr>
          <w:cantSplit/>
        </w:trPr>
        <w:tc>
          <w:tcPr>
            <w:tcW w:type="dxa" w:w="700"/>
            <w:vAlign w:val="center"/>
            <w:shd w:fill="FAFBFC"/>
            <w:tcMar>
              <w:top w:w="90" w:type="dxa"/>
              <w:start w:w="100" w:type="dxa"/>
              <w:bottom w:w="90" w:type="dxa"/>
              <w:end w:w="100" w:type="dxa"/>
            </w:tcMar>
          </w:tcPr>
          <w:p>
            <w:pPr>
              <w:spacing w:before="0" w:after="20" w:line="252" w:lineRule="auto"/>
              <w:jc w:val="left"/>
            </w:pPr>
            <w:r>
              <w:rPr>
                <w:color w:val="1D2733"/>
                <w:sz w:val="16"/>
              </w:rPr>
              <w:t>V06</w:t>
            </w:r>
          </w:p>
        </w:tc>
        <w:tc>
          <w:tcPr>
            <w:tcW w:type="dxa" w:w="3300"/>
            <w:vAlign w:val="center"/>
            <w:shd w:fill="FAFBFC"/>
            <w:tcMar>
              <w:top w:w="90" w:type="dxa"/>
              <w:start w:w="100" w:type="dxa"/>
              <w:bottom w:w="90" w:type="dxa"/>
              <w:end w:w="100" w:type="dxa"/>
            </w:tcMar>
          </w:tcPr>
          <w:p>
            <w:pPr>
              <w:spacing w:before="0" w:after="20" w:line="252" w:lineRule="auto"/>
              <w:jc w:val="left"/>
            </w:pPr>
            <w:r>
              <w:rPr>
                <w:color w:val="1D2733"/>
                <w:sz w:val="16"/>
              </w:rPr>
              <w:t>Exact Namecheap plan, runtime, storage, database, cron, backup, SSH and security limits</w:t>
            </w:r>
          </w:p>
        </w:tc>
        <w:tc>
          <w:tcPr>
            <w:tcW w:type="dxa" w:w="2750"/>
            <w:vAlign w:val="center"/>
            <w:shd w:fill="FAFBFC"/>
            <w:tcMar>
              <w:top w:w="90" w:type="dxa"/>
              <w:start w:w="100" w:type="dxa"/>
              <w:bottom w:w="90" w:type="dxa"/>
              <w:end w:w="100" w:type="dxa"/>
            </w:tcMar>
          </w:tcPr>
          <w:p>
            <w:pPr>
              <w:spacing w:before="0" w:after="20" w:line="252" w:lineRule="auto"/>
              <w:jc w:val="left"/>
            </w:pPr>
            <w:r>
              <w:rPr>
                <w:color w:val="1D2733"/>
                <w:sz w:val="16"/>
              </w:rPr>
              <w:t>Hosting account evidence and test</w:t>
            </w:r>
          </w:p>
        </w:tc>
        <w:tc>
          <w:tcPr>
            <w:tcW w:type="dxa" w:w="1350"/>
            <w:vAlign w:val="center"/>
            <w:shd w:fill="FAFBFC"/>
            <w:tcMar>
              <w:top w:w="90" w:type="dxa"/>
              <w:start w:w="100" w:type="dxa"/>
              <w:bottom w:w="90" w:type="dxa"/>
              <w:end w:w="100" w:type="dxa"/>
            </w:tcMar>
          </w:tcPr>
          <w:p>
            <w:pPr>
              <w:spacing w:before="0" w:after="20" w:line="252" w:lineRule="auto"/>
              <w:jc w:val="center"/>
            </w:pPr>
            <w:r>
              <w:rPr>
                <w:color w:val="1D2733"/>
                <w:sz w:val="16"/>
              </w:rPr>
              <w:t>CTO</w:t>
            </w:r>
          </w:p>
        </w:tc>
        <w:tc>
          <w:tcPr>
            <w:tcW w:type="dxa" w:w="1260"/>
            <w:vAlign w:val="center"/>
            <w:shd w:fill="FAFBFC"/>
            <w:tcMar>
              <w:top w:w="90" w:type="dxa"/>
              <w:start w:w="100" w:type="dxa"/>
              <w:bottom w:w="90" w:type="dxa"/>
              <w:end w:w="100" w:type="dxa"/>
            </w:tcMar>
          </w:tcPr>
          <w:p>
            <w:pPr>
              <w:spacing w:before="0" w:after="20" w:line="252" w:lineRule="auto"/>
              <w:jc w:val="center"/>
            </w:pPr>
            <w:r>
              <w:rPr>
                <w:color w:val="1D2733"/>
                <w:sz w:val="16"/>
              </w:rPr>
              <w:t>Day 10</w:t>
            </w:r>
          </w:p>
        </w:tc>
      </w:tr>
      <w:tr>
        <w:trPr>
          <w:cantSplit/>
        </w:trPr>
        <w:tc>
          <w:tcPr>
            <w:tcW w:type="dxa" w:w="700"/>
            <w:vAlign w:val="center"/>
            <w:tcMar>
              <w:top w:w="90" w:type="dxa"/>
              <w:start w:w="100" w:type="dxa"/>
              <w:bottom w:w="90" w:type="dxa"/>
              <w:end w:w="100" w:type="dxa"/>
            </w:tcMar>
          </w:tcPr>
          <w:p>
            <w:pPr>
              <w:spacing w:before="0" w:after="20" w:line="252" w:lineRule="auto"/>
              <w:jc w:val="left"/>
            </w:pPr>
            <w:r>
              <w:rPr>
                <w:color w:val="1D2733"/>
                <w:sz w:val="16"/>
              </w:rPr>
              <w:t>V07</w:t>
            </w:r>
          </w:p>
        </w:tc>
        <w:tc>
          <w:tcPr>
            <w:tcW w:type="dxa" w:w="3300"/>
            <w:vAlign w:val="center"/>
            <w:tcMar>
              <w:top w:w="90" w:type="dxa"/>
              <w:start w:w="100" w:type="dxa"/>
              <w:bottom w:w="90" w:type="dxa"/>
              <w:end w:w="100" w:type="dxa"/>
            </w:tcMar>
          </w:tcPr>
          <w:p>
            <w:pPr>
              <w:spacing w:before="0" w:after="20" w:line="252" w:lineRule="auto"/>
              <w:jc w:val="left"/>
            </w:pPr>
            <w:r>
              <w:rPr>
                <w:color w:val="1D2733"/>
                <w:sz w:val="16"/>
              </w:rPr>
              <w:t>Current products, repositories, client deployments, commitments and support status</w:t>
            </w:r>
          </w:p>
        </w:tc>
        <w:tc>
          <w:tcPr>
            <w:tcW w:type="dxa" w:w="2750"/>
            <w:vAlign w:val="center"/>
            <w:tcMar>
              <w:top w:w="90" w:type="dxa"/>
              <w:start w:w="100" w:type="dxa"/>
              <w:bottom w:w="90" w:type="dxa"/>
              <w:end w:w="100" w:type="dxa"/>
            </w:tcMar>
          </w:tcPr>
          <w:p>
            <w:pPr>
              <w:spacing w:before="0" w:after="20" w:line="252" w:lineRule="auto"/>
              <w:jc w:val="left"/>
            </w:pPr>
            <w:r>
              <w:rPr>
                <w:color w:val="1D2733"/>
                <w:sz w:val="16"/>
              </w:rPr>
              <w:t>Portfolio/asset inventory</w:t>
            </w:r>
          </w:p>
        </w:tc>
        <w:tc>
          <w:tcPr>
            <w:tcW w:type="dxa" w:w="1350"/>
            <w:vAlign w:val="center"/>
            <w:tcMar>
              <w:top w:w="90" w:type="dxa"/>
              <w:start w:w="100" w:type="dxa"/>
              <w:bottom w:w="90" w:type="dxa"/>
              <w:end w:w="100" w:type="dxa"/>
            </w:tcMar>
          </w:tcPr>
          <w:p>
            <w:pPr>
              <w:spacing w:before="0" w:after="20" w:line="252" w:lineRule="auto"/>
              <w:jc w:val="center"/>
            </w:pPr>
            <w:r>
              <w:rPr>
                <w:color w:val="1D2733"/>
                <w:sz w:val="16"/>
              </w:rPr>
              <w:t>PMO / CTO</w:t>
            </w:r>
          </w:p>
        </w:tc>
        <w:tc>
          <w:tcPr>
            <w:tcW w:type="dxa" w:w="1260"/>
            <w:vAlign w:val="center"/>
            <w:tcMar>
              <w:top w:w="90" w:type="dxa"/>
              <w:start w:w="100" w:type="dxa"/>
              <w:bottom w:w="90" w:type="dxa"/>
              <w:end w:w="100" w:type="dxa"/>
            </w:tcMar>
          </w:tcPr>
          <w:p>
            <w:pPr>
              <w:spacing w:before="0" w:after="20" w:line="252" w:lineRule="auto"/>
              <w:jc w:val="center"/>
            </w:pPr>
            <w:r>
              <w:rPr>
                <w:color w:val="1D2733"/>
                <w:sz w:val="16"/>
              </w:rPr>
              <w:t>Day 20</w:t>
            </w:r>
          </w:p>
        </w:tc>
      </w:tr>
      <w:tr>
        <w:trPr>
          <w:cantSplit/>
        </w:trPr>
        <w:tc>
          <w:tcPr>
            <w:tcW w:type="dxa" w:w="700"/>
            <w:vAlign w:val="center"/>
            <w:shd w:fill="FAFBFC"/>
            <w:tcMar>
              <w:top w:w="90" w:type="dxa"/>
              <w:start w:w="100" w:type="dxa"/>
              <w:bottom w:w="90" w:type="dxa"/>
              <w:end w:w="100" w:type="dxa"/>
            </w:tcMar>
          </w:tcPr>
          <w:p>
            <w:pPr>
              <w:spacing w:before="0" w:after="20" w:line="252" w:lineRule="auto"/>
              <w:jc w:val="left"/>
            </w:pPr>
            <w:r>
              <w:rPr>
                <w:color w:val="1D2733"/>
                <w:sz w:val="16"/>
              </w:rPr>
              <w:t>V08</w:t>
            </w:r>
          </w:p>
        </w:tc>
        <w:tc>
          <w:tcPr>
            <w:tcW w:type="dxa" w:w="3300"/>
            <w:vAlign w:val="center"/>
            <w:shd w:fill="FAFBFC"/>
            <w:tcMar>
              <w:top w:w="90" w:type="dxa"/>
              <w:start w:w="100" w:type="dxa"/>
              <w:bottom w:w="90" w:type="dxa"/>
              <w:end w:w="100" w:type="dxa"/>
            </w:tcMar>
          </w:tcPr>
          <w:p>
            <w:pPr>
              <w:spacing w:before="0" w:after="20" w:line="252" w:lineRule="auto"/>
              <w:jc w:val="left"/>
            </w:pPr>
            <w:r>
              <w:rPr>
                <w:color w:val="1D2733"/>
                <w:sz w:val="16"/>
              </w:rPr>
              <w:t>Approved first RME-powered Rihuum OS ideal customer and lighthouse workflow</w:t>
            </w:r>
          </w:p>
        </w:tc>
        <w:tc>
          <w:tcPr>
            <w:tcW w:type="dxa" w:w="2750"/>
            <w:vAlign w:val="center"/>
            <w:shd w:fill="FAFBFC"/>
            <w:tcMar>
              <w:top w:w="90" w:type="dxa"/>
              <w:start w:w="100" w:type="dxa"/>
              <w:bottom w:w="90" w:type="dxa"/>
              <w:end w:w="100" w:type="dxa"/>
            </w:tcMar>
          </w:tcPr>
          <w:p>
            <w:pPr>
              <w:spacing w:before="0" w:after="20" w:line="252" w:lineRule="auto"/>
              <w:jc w:val="left"/>
            </w:pPr>
            <w:r>
              <w:rPr>
                <w:color w:val="1D2733"/>
                <w:sz w:val="16"/>
              </w:rPr>
              <w:t>Discovery, commercial and portfolio decision</w:t>
            </w:r>
          </w:p>
        </w:tc>
        <w:tc>
          <w:tcPr>
            <w:tcW w:type="dxa" w:w="1350"/>
            <w:vAlign w:val="center"/>
            <w:shd w:fill="FAFBFC"/>
            <w:tcMar>
              <w:top w:w="90" w:type="dxa"/>
              <w:start w:w="100" w:type="dxa"/>
              <w:bottom w:w="90" w:type="dxa"/>
              <w:end w:w="100" w:type="dxa"/>
            </w:tcMar>
          </w:tcPr>
          <w:p>
            <w:pPr>
              <w:spacing w:before="0" w:after="20" w:line="252" w:lineRule="auto"/>
              <w:jc w:val="center"/>
            </w:pPr>
            <w:r>
              <w:rPr>
                <w:color w:val="1D2733"/>
                <w:sz w:val="16"/>
              </w:rPr>
              <w:t>Product / CEO</w:t>
            </w:r>
          </w:p>
        </w:tc>
        <w:tc>
          <w:tcPr>
            <w:tcW w:type="dxa" w:w="1260"/>
            <w:vAlign w:val="center"/>
            <w:shd w:fill="FAFBFC"/>
            <w:tcMar>
              <w:top w:w="90" w:type="dxa"/>
              <w:start w:w="100" w:type="dxa"/>
              <w:bottom w:w="90" w:type="dxa"/>
              <w:end w:w="100" w:type="dxa"/>
            </w:tcMar>
          </w:tcPr>
          <w:p>
            <w:pPr>
              <w:spacing w:before="0" w:after="20" w:line="252" w:lineRule="auto"/>
              <w:jc w:val="center"/>
            </w:pPr>
            <w:r>
              <w:rPr>
                <w:color w:val="1D2733"/>
                <w:sz w:val="16"/>
              </w:rPr>
              <w:t>Day 45</w:t>
            </w:r>
          </w:p>
        </w:tc>
      </w:tr>
      <w:tr>
        <w:trPr>
          <w:cantSplit/>
        </w:trPr>
        <w:tc>
          <w:tcPr>
            <w:tcW w:type="dxa" w:w="700"/>
            <w:vAlign w:val="center"/>
            <w:tcMar>
              <w:top w:w="90" w:type="dxa"/>
              <w:start w:w="100" w:type="dxa"/>
              <w:bottom w:w="90" w:type="dxa"/>
              <w:end w:w="100" w:type="dxa"/>
            </w:tcMar>
          </w:tcPr>
          <w:p>
            <w:pPr>
              <w:spacing w:before="0" w:after="20" w:line="252" w:lineRule="auto"/>
              <w:jc w:val="left"/>
            </w:pPr>
            <w:r>
              <w:rPr>
                <w:color w:val="1D2733"/>
                <w:sz w:val="16"/>
              </w:rPr>
              <w:t>V09</w:t>
            </w:r>
          </w:p>
        </w:tc>
        <w:tc>
          <w:tcPr>
            <w:tcW w:type="dxa" w:w="3300"/>
            <w:vAlign w:val="center"/>
            <w:tcMar>
              <w:top w:w="90" w:type="dxa"/>
              <w:start w:w="100" w:type="dxa"/>
              <w:bottom w:w="90" w:type="dxa"/>
              <w:end w:w="100" w:type="dxa"/>
            </w:tcMar>
          </w:tcPr>
          <w:p>
            <w:pPr>
              <w:spacing w:before="0" w:after="20" w:line="252" w:lineRule="auto"/>
              <w:jc w:val="left"/>
            </w:pPr>
            <w:r>
              <w:rPr>
                <w:color w:val="1D2733"/>
                <w:sz w:val="16"/>
              </w:rPr>
              <w:t>Annual budget, funding envelope, cash/runway and investment priorities</w:t>
            </w:r>
          </w:p>
        </w:tc>
        <w:tc>
          <w:tcPr>
            <w:tcW w:type="dxa" w:w="2750"/>
            <w:vAlign w:val="center"/>
            <w:tcMar>
              <w:top w:w="90" w:type="dxa"/>
              <w:start w:w="100" w:type="dxa"/>
              <w:bottom w:w="90" w:type="dxa"/>
              <w:end w:w="100" w:type="dxa"/>
            </w:tcMar>
          </w:tcPr>
          <w:p>
            <w:pPr>
              <w:spacing w:before="0" w:after="20" w:line="252" w:lineRule="auto"/>
              <w:jc w:val="left"/>
            </w:pPr>
            <w:r>
              <w:rPr>
                <w:color w:val="1D2733"/>
                <w:sz w:val="16"/>
              </w:rPr>
              <w:t>Reconciled finance and board approval</w:t>
            </w:r>
          </w:p>
        </w:tc>
        <w:tc>
          <w:tcPr>
            <w:tcW w:type="dxa" w:w="1350"/>
            <w:vAlign w:val="center"/>
            <w:tcMar>
              <w:top w:w="90" w:type="dxa"/>
              <w:start w:w="100" w:type="dxa"/>
              <w:bottom w:w="90" w:type="dxa"/>
              <w:end w:w="100" w:type="dxa"/>
            </w:tcMar>
          </w:tcPr>
          <w:p>
            <w:pPr>
              <w:spacing w:before="0" w:after="20" w:line="252" w:lineRule="auto"/>
              <w:jc w:val="left"/>
            </w:pPr>
            <w:r>
              <w:rPr>
                <w:color w:val="1D2733"/>
                <w:sz w:val="16"/>
              </w:rPr>
              <w:t>Finance / Board</w:t>
            </w:r>
          </w:p>
        </w:tc>
        <w:tc>
          <w:tcPr>
            <w:tcW w:type="dxa" w:w="1260"/>
            <w:vAlign w:val="center"/>
            <w:tcMar>
              <w:top w:w="90" w:type="dxa"/>
              <w:start w:w="100" w:type="dxa"/>
              <w:bottom w:w="90" w:type="dxa"/>
              <w:end w:w="100" w:type="dxa"/>
            </w:tcMar>
          </w:tcPr>
          <w:p>
            <w:pPr>
              <w:spacing w:before="0" w:after="20" w:line="252" w:lineRule="auto"/>
              <w:jc w:val="center"/>
            </w:pPr>
            <w:r>
              <w:rPr>
                <w:color w:val="1D2733"/>
                <w:sz w:val="16"/>
              </w:rPr>
              <w:t>Day 90</w:t>
            </w:r>
          </w:p>
        </w:tc>
      </w:tr>
      <w:tr>
        <w:trPr>
          <w:cantSplit/>
        </w:trPr>
        <w:tc>
          <w:tcPr>
            <w:tcW w:type="dxa" w:w="700"/>
            <w:vAlign w:val="center"/>
            <w:shd w:fill="FAFBFC"/>
            <w:tcMar>
              <w:top w:w="90" w:type="dxa"/>
              <w:start w:w="100" w:type="dxa"/>
              <w:bottom w:w="90" w:type="dxa"/>
              <w:end w:w="100" w:type="dxa"/>
            </w:tcMar>
          </w:tcPr>
          <w:p>
            <w:pPr>
              <w:spacing w:before="0" w:after="20" w:line="252" w:lineRule="auto"/>
              <w:jc w:val="left"/>
            </w:pPr>
            <w:r>
              <w:rPr>
                <w:color w:val="1D2733"/>
                <w:sz w:val="16"/>
              </w:rPr>
              <w:t>V10</w:t>
            </w:r>
          </w:p>
        </w:tc>
        <w:tc>
          <w:tcPr>
            <w:tcW w:type="dxa" w:w="3300"/>
            <w:vAlign w:val="center"/>
            <w:shd w:fill="FAFBFC"/>
            <w:tcMar>
              <w:top w:w="90" w:type="dxa"/>
              <w:start w:w="100" w:type="dxa"/>
              <w:bottom w:w="90" w:type="dxa"/>
              <w:end w:w="100" w:type="dxa"/>
            </w:tcMar>
          </w:tcPr>
          <w:p>
            <w:pPr>
              <w:spacing w:before="0" w:after="20" w:line="252" w:lineRule="auto"/>
              <w:jc w:val="left"/>
            </w:pPr>
            <w:r>
              <w:rPr>
                <w:color w:val="1D2733"/>
                <w:sz w:val="16"/>
              </w:rPr>
              <w:t>Price book, discounts, support packages and contractual SLAs</w:t>
            </w:r>
          </w:p>
        </w:tc>
        <w:tc>
          <w:tcPr>
            <w:tcW w:type="dxa" w:w="2750"/>
            <w:vAlign w:val="center"/>
            <w:shd w:fill="FAFBFC"/>
            <w:tcMar>
              <w:top w:w="90" w:type="dxa"/>
              <w:start w:w="100" w:type="dxa"/>
              <w:bottom w:w="90" w:type="dxa"/>
              <w:end w:w="100" w:type="dxa"/>
            </w:tcMar>
          </w:tcPr>
          <w:p>
            <w:pPr>
              <w:spacing w:before="0" w:after="20" w:line="252" w:lineRule="auto"/>
              <w:jc w:val="left"/>
            </w:pPr>
            <w:r>
              <w:rPr>
                <w:color w:val="1D2733"/>
                <w:sz w:val="16"/>
              </w:rPr>
              <w:t>Cost/market research and board-delegated approval</w:t>
            </w:r>
          </w:p>
        </w:tc>
        <w:tc>
          <w:tcPr>
            <w:tcW w:type="dxa" w:w="1350"/>
            <w:vAlign w:val="center"/>
            <w:shd w:fill="FAFBFC"/>
            <w:tcMar>
              <w:top w:w="90" w:type="dxa"/>
              <w:start w:w="100" w:type="dxa"/>
              <w:bottom w:w="90" w:type="dxa"/>
              <w:end w:w="100" w:type="dxa"/>
            </w:tcMar>
          </w:tcPr>
          <w:p>
            <w:pPr>
              <w:spacing w:before="0" w:after="20" w:line="252" w:lineRule="auto"/>
              <w:jc w:val="left"/>
            </w:pPr>
            <w:r>
              <w:rPr>
                <w:color w:val="1D2733"/>
                <w:sz w:val="16"/>
              </w:rPr>
              <w:t>Finance / Commercial</w:t>
            </w:r>
          </w:p>
        </w:tc>
        <w:tc>
          <w:tcPr>
            <w:tcW w:type="dxa" w:w="1260"/>
            <w:vAlign w:val="center"/>
            <w:shd w:fill="FAFBFC"/>
            <w:tcMar>
              <w:top w:w="90" w:type="dxa"/>
              <w:start w:w="100" w:type="dxa"/>
              <w:bottom w:w="90" w:type="dxa"/>
              <w:end w:w="100" w:type="dxa"/>
            </w:tcMar>
          </w:tcPr>
          <w:p>
            <w:pPr>
              <w:spacing w:before="0" w:after="20" w:line="252" w:lineRule="auto"/>
              <w:jc w:val="center"/>
            </w:pPr>
            <w:r>
              <w:rPr>
                <w:color w:val="1D2733"/>
                <w:sz w:val="16"/>
              </w:rPr>
              <w:t>Day 90</w:t>
            </w:r>
          </w:p>
        </w:tc>
      </w:tr>
      <w:tr>
        <w:trPr>
          <w:cantSplit/>
        </w:trPr>
        <w:tc>
          <w:tcPr>
            <w:tcW w:type="dxa" w:w="700"/>
            <w:vAlign w:val="center"/>
            <w:tcMar>
              <w:top w:w="90" w:type="dxa"/>
              <w:start w:w="100" w:type="dxa"/>
              <w:bottom w:w="90" w:type="dxa"/>
              <w:end w:w="100" w:type="dxa"/>
            </w:tcMar>
          </w:tcPr>
          <w:p>
            <w:pPr>
              <w:spacing w:before="0" w:after="20" w:line="252" w:lineRule="auto"/>
              <w:jc w:val="left"/>
            </w:pPr>
            <w:r>
              <w:rPr>
                <w:color w:val="1D2733"/>
                <w:sz w:val="16"/>
              </w:rPr>
              <w:t>V11</w:t>
            </w:r>
          </w:p>
        </w:tc>
        <w:tc>
          <w:tcPr>
            <w:tcW w:type="dxa" w:w="3300"/>
            <w:vAlign w:val="center"/>
            <w:tcMar>
              <w:top w:w="90" w:type="dxa"/>
              <w:start w:w="100" w:type="dxa"/>
              <w:bottom w:w="90" w:type="dxa"/>
              <w:end w:w="100" w:type="dxa"/>
            </w:tcMar>
          </w:tcPr>
          <w:p>
            <w:pPr>
              <w:spacing w:before="0" w:after="20" w:line="252" w:lineRule="auto"/>
              <w:jc w:val="left"/>
            </w:pPr>
            <w:r>
              <w:rPr>
                <w:color w:val="1D2733"/>
                <w:sz w:val="16"/>
              </w:rPr>
              <w:t>KPI baselines and numeric targets</w:t>
            </w:r>
          </w:p>
        </w:tc>
        <w:tc>
          <w:tcPr>
            <w:tcW w:type="dxa" w:w="2750"/>
            <w:vAlign w:val="center"/>
            <w:tcMar>
              <w:top w:w="90" w:type="dxa"/>
              <w:start w:w="100" w:type="dxa"/>
              <w:bottom w:w="90" w:type="dxa"/>
              <w:end w:w="100" w:type="dxa"/>
            </w:tcMar>
          </w:tcPr>
          <w:p>
            <w:pPr>
              <w:spacing w:before="0" w:after="20" w:line="252" w:lineRule="auto"/>
              <w:jc w:val="left"/>
            </w:pPr>
            <w:r>
              <w:rPr>
                <w:color w:val="1D2733"/>
                <w:sz w:val="16"/>
              </w:rPr>
              <w:t>90-day reconciled measurement and annual plan</w:t>
            </w:r>
          </w:p>
        </w:tc>
        <w:tc>
          <w:tcPr>
            <w:tcW w:type="dxa" w:w="1350"/>
            <w:vAlign w:val="center"/>
            <w:tcMar>
              <w:top w:w="90" w:type="dxa"/>
              <w:start w:w="100" w:type="dxa"/>
              <w:bottom w:w="90" w:type="dxa"/>
              <w:end w:w="100" w:type="dxa"/>
            </w:tcMar>
          </w:tcPr>
          <w:p>
            <w:pPr>
              <w:spacing w:before="0" w:after="20" w:line="252" w:lineRule="auto"/>
              <w:jc w:val="center"/>
            </w:pPr>
            <w:r>
              <w:rPr>
                <w:color w:val="1D2733"/>
                <w:sz w:val="16"/>
              </w:rPr>
              <w:t>PMO / Finance</w:t>
            </w:r>
          </w:p>
        </w:tc>
        <w:tc>
          <w:tcPr>
            <w:tcW w:type="dxa" w:w="1260"/>
            <w:vAlign w:val="center"/>
            <w:tcMar>
              <w:top w:w="90" w:type="dxa"/>
              <w:start w:w="100" w:type="dxa"/>
              <w:bottom w:w="90" w:type="dxa"/>
              <w:end w:w="100" w:type="dxa"/>
            </w:tcMar>
          </w:tcPr>
          <w:p>
            <w:pPr>
              <w:spacing w:before="0" w:after="20" w:line="252" w:lineRule="auto"/>
              <w:jc w:val="center"/>
            </w:pPr>
            <w:r>
              <w:rPr>
                <w:color w:val="1D2733"/>
                <w:sz w:val="16"/>
              </w:rPr>
              <w:t>Day 90</w:t>
            </w:r>
          </w:p>
        </w:tc>
      </w:tr>
      <w:tr>
        <w:trPr>
          <w:cantSplit/>
        </w:trPr>
        <w:tc>
          <w:tcPr>
            <w:tcW w:type="dxa" w:w="700"/>
            <w:vAlign w:val="center"/>
            <w:shd w:fill="FAFBFC"/>
            <w:tcMar>
              <w:top w:w="90" w:type="dxa"/>
              <w:start w:w="100" w:type="dxa"/>
              <w:bottom w:w="90" w:type="dxa"/>
              <w:end w:w="100" w:type="dxa"/>
            </w:tcMar>
          </w:tcPr>
          <w:p>
            <w:pPr>
              <w:spacing w:before="0" w:after="20" w:line="252" w:lineRule="auto"/>
              <w:jc w:val="left"/>
            </w:pPr>
            <w:r>
              <w:rPr>
                <w:color w:val="1D2733"/>
                <w:sz w:val="16"/>
              </w:rPr>
              <w:t>V12</w:t>
            </w:r>
          </w:p>
        </w:tc>
        <w:tc>
          <w:tcPr>
            <w:tcW w:type="dxa" w:w="3300"/>
            <w:vAlign w:val="center"/>
            <w:shd w:fill="FAFBFC"/>
            <w:tcMar>
              <w:top w:w="90" w:type="dxa"/>
              <w:start w:w="100" w:type="dxa"/>
              <w:bottom w:w="90" w:type="dxa"/>
              <w:end w:w="100" w:type="dxa"/>
            </w:tcMar>
          </w:tcPr>
          <w:p>
            <w:pPr>
              <w:spacing w:before="0" w:after="20" w:line="252" w:lineRule="auto"/>
              <w:jc w:val="left"/>
            </w:pPr>
            <w:r>
              <w:rPr>
                <w:color w:val="1D2733"/>
                <w:sz w:val="16"/>
              </w:rPr>
              <w:t>Named DPO/privacy, security, AI-risk and incident authorities</w:t>
            </w:r>
          </w:p>
        </w:tc>
        <w:tc>
          <w:tcPr>
            <w:tcW w:type="dxa" w:w="2750"/>
            <w:vAlign w:val="center"/>
            <w:shd w:fill="FAFBFC"/>
            <w:tcMar>
              <w:top w:w="90" w:type="dxa"/>
              <w:start w:w="100" w:type="dxa"/>
              <w:bottom w:w="90" w:type="dxa"/>
              <w:end w:w="100" w:type="dxa"/>
            </w:tcMar>
          </w:tcPr>
          <w:p>
            <w:pPr>
              <w:spacing w:before="0" w:after="20" w:line="252" w:lineRule="auto"/>
              <w:jc w:val="left"/>
            </w:pPr>
            <w:r>
              <w:rPr>
                <w:color w:val="1D2733"/>
                <w:sz w:val="16"/>
              </w:rPr>
              <w:t>Executive appointment and legal/risk assessment</w:t>
            </w:r>
          </w:p>
        </w:tc>
        <w:tc>
          <w:tcPr>
            <w:tcW w:type="dxa" w:w="1350"/>
            <w:vAlign w:val="center"/>
            <w:shd w:fill="FAFBFC"/>
            <w:tcMar>
              <w:top w:w="90" w:type="dxa"/>
              <w:start w:w="100" w:type="dxa"/>
              <w:bottom w:w="90" w:type="dxa"/>
              <w:end w:w="100" w:type="dxa"/>
            </w:tcMar>
          </w:tcPr>
          <w:p>
            <w:pPr>
              <w:spacing w:before="0" w:after="20" w:line="252" w:lineRule="auto"/>
              <w:jc w:val="center"/>
            </w:pPr>
            <w:r>
              <w:rPr>
                <w:color w:val="1D2733"/>
                <w:sz w:val="16"/>
              </w:rPr>
              <w:t>CEO</w:t>
            </w:r>
          </w:p>
        </w:tc>
        <w:tc>
          <w:tcPr>
            <w:tcW w:type="dxa" w:w="1260"/>
            <w:vAlign w:val="center"/>
            <w:shd w:fill="FAFBFC"/>
            <w:tcMar>
              <w:top w:w="90" w:type="dxa"/>
              <w:start w:w="100" w:type="dxa"/>
              <w:bottom w:w="90" w:type="dxa"/>
              <w:end w:w="100" w:type="dxa"/>
            </w:tcMar>
          </w:tcPr>
          <w:p>
            <w:pPr>
              <w:spacing w:before="0" w:after="20" w:line="252" w:lineRule="auto"/>
              <w:jc w:val="center"/>
            </w:pPr>
            <w:r>
              <w:rPr>
                <w:color w:val="1D2733"/>
                <w:sz w:val="16"/>
              </w:rPr>
              <w:t>Day 20</w:t>
            </w:r>
          </w:p>
        </w:tc>
      </w:tr>
      <w:tr>
        <w:trPr>
          <w:cantSplit/>
        </w:trPr>
        <w:tc>
          <w:tcPr>
            <w:tcW w:type="dxa" w:w="700"/>
            <w:vAlign w:val="center"/>
            <w:tcMar>
              <w:top w:w="90" w:type="dxa"/>
              <w:start w:w="100" w:type="dxa"/>
              <w:bottom w:w="90" w:type="dxa"/>
              <w:end w:w="100" w:type="dxa"/>
            </w:tcMar>
          </w:tcPr>
          <w:p>
            <w:pPr>
              <w:spacing w:before="0" w:after="20" w:line="252" w:lineRule="auto"/>
              <w:jc w:val="left"/>
            </w:pPr>
            <w:r>
              <w:rPr>
                <w:color w:val="1D2733"/>
                <w:sz w:val="16"/>
              </w:rPr>
              <w:t>V13</w:t>
            </w:r>
          </w:p>
        </w:tc>
        <w:tc>
          <w:tcPr>
            <w:tcW w:type="dxa" w:w="3300"/>
            <w:vAlign w:val="center"/>
            <w:tcMar>
              <w:top w:w="90" w:type="dxa"/>
              <w:start w:w="100" w:type="dxa"/>
              <w:bottom w:w="90" w:type="dxa"/>
              <w:end w:w="100" w:type="dxa"/>
            </w:tcMar>
          </w:tcPr>
          <w:p>
            <w:pPr>
              <w:spacing w:before="0" w:after="20" w:line="252" w:lineRule="auto"/>
              <w:jc w:val="left"/>
            </w:pPr>
            <w:r>
              <w:rPr>
                <w:color w:val="1D2733"/>
                <w:sz w:val="16"/>
              </w:rPr>
              <w:t>Official social accounts and authorised administrators</w:t>
            </w:r>
          </w:p>
        </w:tc>
        <w:tc>
          <w:tcPr>
            <w:tcW w:type="dxa" w:w="2750"/>
            <w:vAlign w:val="center"/>
            <w:tcMar>
              <w:top w:w="90" w:type="dxa"/>
              <w:start w:w="100" w:type="dxa"/>
              <w:bottom w:w="90" w:type="dxa"/>
              <w:end w:w="100" w:type="dxa"/>
            </w:tcMar>
          </w:tcPr>
          <w:p>
            <w:pPr>
              <w:spacing w:before="0" w:after="20" w:line="252" w:lineRule="auto"/>
              <w:jc w:val="left"/>
            </w:pPr>
            <w:r>
              <w:rPr>
                <w:color w:val="1D2733"/>
                <w:sz w:val="16"/>
              </w:rPr>
              <w:t>Account verification and access register</w:t>
            </w:r>
          </w:p>
        </w:tc>
        <w:tc>
          <w:tcPr>
            <w:tcW w:type="dxa" w:w="1350"/>
            <w:vAlign w:val="center"/>
            <w:tcMar>
              <w:top w:w="90" w:type="dxa"/>
              <w:start w:w="100" w:type="dxa"/>
              <w:bottom w:w="90" w:type="dxa"/>
              <w:end w:w="100" w:type="dxa"/>
            </w:tcMar>
          </w:tcPr>
          <w:p>
            <w:pPr>
              <w:spacing w:before="0" w:after="20" w:line="252" w:lineRule="auto"/>
              <w:jc w:val="left"/>
            </w:pPr>
            <w:r>
              <w:rPr>
                <w:color w:val="1D2733"/>
                <w:sz w:val="16"/>
              </w:rPr>
              <w:t>Marketing / Security</w:t>
            </w:r>
          </w:p>
        </w:tc>
        <w:tc>
          <w:tcPr>
            <w:tcW w:type="dxa" w:w="1260"/>
            <w:vAlign w:val="center"/>
            <w:tcMar>
              <w:top w:w="90" w:type="dxa"/>
              <w:start w:w="100" w:type="dxa"/>
              <w:bottom w:w="90" w:type="dxa"/>
              <w:end w:w="100" w:type="dxa"/>
            </w:tcMar>
          </w:tcPr>
          <w:p>
            <w:pPr>
              <w:spacing w:before="0" w:after="20" w:line="252" w:lineRule="auto"/>
              <w:jc w:val="center"/>
            </w:pPr>
            <w:r>
              <w:rPr>
                <w:color w:val="1D2733"/>
                <w:sz w:val="16"/>
              </w:rPr>
              <w:t>Day 15</w:t>
            </w:r>
          </w:p>
        </w:tc>
      </w:tr>
      <w:tr>
        <w:trPr>
          <w:cantSplit/>
        </w:trPr>
        <w:tc>
          <w:tcPr>
            <w:tcW w:type="dxa" w:w="700"/>
            <w:vAlign w:val="center"/>
            <w:shd w:fill="FAFBFC"/>
            <w:tcMar>
              <w:top w:w="90" w:type="dxa"/>
              <w:start w:w="100" w:type="dxa"/>
              <w:bottom w:w="90" w:type="dxa"/>
              <w:end w:w="100" w:type="dxa"/>
            </w:tcMar>
          </w:tcPr>
          <w:p>
            <w:pPr>
              <w:spacing w:before="0" w:after="20" w:line="252" w:lineRule="auto"/>
              <w:jc w:val="left"/>
            </w:pPr>
            <w:r>
              <w:rPr>
                <w:color w:val="1D2733"/>
                <w:sz w:val="16"/>
              </w:rPr>
              <w:t>V14</w:t>
            </w:r>
          </w:p>
        </w:tc>
        <w:tc>
          <w:tcPr>
            <w:tcW w:type="dxa" w:w="3300"/>
            <w:vAlign w:val="center"/>
            <w:shd w:fill="FAFBFC"/>
            <w:tcMar>
              <w:top w:w="90" w:type="dxa"/>
              <w:start w:w="100" w:type="dxa"/>
              <w:bottom w:w="90" w:type="dxa"/>
              <w:end w:w="100" w:type="dxa"/>
            </w:tcMar>
          </w:tcPr>
          <w:p>
            <w:pPr>
              <w:spacing w:before="0" w:after="20" w:line="252" w:lineRule="auto"/>
              <w:jc w:val="left"/>
            </w:pPr>
            <w:r>
              <w:rPr>
                <w:color w:val="1D2733"/>
                <w:sz w:val="16"/>
              </w:rPr>
              <w:t>Formal brand palette/type system and logo master/vector files</w:t>
            </w:r>
          </w:p>
        </w:tc>
        <w:tc>
          <w:tcPr>
            <w:tcW w:type="dxa" w:w="2750"/>
            <w:vAlign w:val="center"/>
            <w:shd w:fill="FAFBFC"/>
            <w:tcMar>
              <w:top w:w="90" w:type="dxa"/>
              <w:start w:w="100" w:type="dxa"/>
              <w:bottom w:w="90" w:type="dxa"/>
              <w:end w:w="100" w:type="dxa"/>
            </w:tcMar>
          </w:tcPr>
          <w:p>
            <w:pPr>
              <w:spacing w:before="0" w:after="20" w:line="252" w:lineRule="auto"/>
              <w:jc w:val="left"/>
            </w:pPr>
            <w:r>
              <w:rPr>
                <w:color w:val="1D2733"/>
                <w:sz w:val="16"/>
              </w:rPr>
              <w:t>Board-approved brand guide derived from official emblem</w:t>
            </w:r>
          </w:p>
        </w:tc>
        <w:tc>
          <w:tcPr>
            <w:tcW w:type="dxa" w:w="1350"/>
            <w:vAlign w:val="center"/>
            <w:shd w:fill="FAFBFC"/>
            <w:tcMar>
              <w:top w:w="90" w:type="dxa"/>
              <w:start w:w="100" w:type="dxa"/>
              <w:bottom w:w="90" w:type="dxa"/>
              <w:end w:w="100" w:type="dxa"/>
            </w:tcMar>
          </w:tcPr>
          <w:p>
            <w:pPr>
              <w:spacing w:before="0" w:after="20" w:line="252" w:lineRule="auto"/>
              <w:jc w:val="left"/>
            </w:pPr>
            <w:r>
              <w:rPr>
                <w:color w:val="1D2733"/>
                <w:sz w:val="16"/>
              </w:rPr>
              <w:t>Marketing / Board</w:t>
            </w:r>
          </w:p>
        </w:tc>
        <w:tc>
          <w:tcPr>
            <w:tcW w:type="dxa" w:w="1260"/>
            <w:vAlign w:val="center"/>
            <w:shd w:fill="FAFBFC"/>
            <w:tcMar>
              <w:top w:w="90" w:type="dxa"/>
              <w:start w:w="100" w:type="dxa"/>
              <w:bottom w:w="90" w:type="dxa"/>
              <w:end w:w="100" w:type="dxa"/>
            </w:tcMar>
          </w:tcPr>
          <w:p>
            <w:pPr>
              <w:spacing w:before="0" w:after="20" w:line="252" w:lineRule="auto"/>
              <w:jc w:val="center"/>
            </w:pPr>
            <w:r>
              <w:rPr>
                <w:color w:val="1D2733"/>
                <w:sz w:val="16"/>
              </w:rPr>
              <w:t>Day 60</w:t>
            </w:r>
          </w:p>
        </w:tc>
      </w:tr>
      <w:tr>
        <w:trPr>
          <w:cantSplit/>
        </w:trPr>
        <w:tc>
          <w:tcPr>
            <w:tcW w:type="dxa" w:w="700"/>
            <w:vAlign w:val="center"/>
            <w:tcMar>
              <w:top w:w="90" w:type="dxa"/>
              <w:start w:w="100" w:type="dxa"/>
              <w:bottom w:w="90" w:type="dxa"/>
              <w:end w:w="100" w:type="dxa"/>
            </w:tcMar>
          </w:tcPr>
          <w:p>
            <w:pPr>
              <w:spacing w:before="0" w:after="20" w:line="252" w:lineRule="auto"/>
              <w:jc w:val="left"/>
            </w:pPr>
            <w:r>
              <w:rPr>
                <w:color w:val="1D2733"/>
                <w:sz w:val="16"/>
              </w:rPr>
              <w:t>V15</w:t>
            </w:r>
          </w:p>
        </w:tc>
        <w:tc>
          <w:tcPr>
            <w:tcW w:type="dxa" w:w="3300"/>
            <w:vAlign w:val="center"/>
            <w:tcMar>
              <w:top w:w="90" w:type="dxa"/>
              <w:start w:w="100" w:type="dxa"/>
              <w:bottom w:w="90" w:type="dxa"/>
              <w:end w:w="100" w:type="dxa"/>
            </w:tcMar>
          </w:tcPr>
          <w:p>
            <w:pPr>
              <w:spacing w:before="0" w:after="20" w:line="252" w:lineRule="auto"/>
              <w:jc w:val="left"/>
            </w:pPr>
            <w:r>
              <w:rPr>
                <w:color w:val="1D2733"/>
                <w:sz w:val="16"/>
              </w:rPr>
              <w:t>Markets/products requiring specific licences or accreditation</w:t>
            </w:r>
          </w:p>
        </w:tc>
        <w:tc>
          <w:tcPr>
            <w:tcW w:type="dxa" w:w="2750"/>
            <w:vAlign w:val="center"/>
            <w:tcMar>
              <w:top w:w="90" w:type="dxa"/>
              <w:start w:w="100" w:type="dxa"/>
              <w:bottom w:w="90" w:type="dxa"/>
              <w:end w:w="100" w:type="dxa"/>
            </w:tcMar>
          </w:tcPr>
          <w:p>
            <w:pPr>
              <w:spacing w:before="0" w:after="20" w:line="252" w:lineRule="auto"/>
              <w:jc w:val="left"/>
            </w:pPr>
            <w:r>
              <w:rPr>
                <w:color w:val="1D2733"/>
                <w:sz w:val="16"/>
              </w:rPr>
              <w:t>Offering-by-offering counsel/regulator review</w:t>
            </w:r>
          </w:p>
        </w:tc>
        <w:tc>
          <w:tcPr>
            <w:tcW w:type="dxa" w:w="1350"/>
            <w:vAlign w:val="center"/>
            <w:tcMar>
              <w:top w:w="90" w:type="dxa"/>
              <w:start w:w="100" w:type="dxa"/>
              <w:bottom w:w="90" w:type="dxa"/>
              <w:end w:w="100" w:type="dxa"/>
            </w:tcMar>
          </w:tcPr>
          <w:p>
            <w:pPr>
              <w:spacing w:before="0" w:after="20" w:line="252" w:lineRule="auto"/>
              <w:jc w:val="left"/>
            </w:pPr>
            <w:r>
              <w:rPr>
                <w:color w:val="1D2733"/>
                <w:sz w:val="16"/>
              </w:rPr>
              <w:t>Legal / Business unit</w:t>
            </w:r>
          </w:p>
        </w:tc>
        <w:tc>
          <w:tcPr>
            <w:tcW w:type="dxa" w:w="1260"/>
            <w:vAlign w:val="center"/>
            <w:tcMar>
              <w:top w:w="90" w:type="dxa"/>
              <w:start w:w="100" w:type="dxa"/>
              <w:bottom w:w="90" w:type="dxa"/>
              <w:end w:w="100" w:type="dxa"/>
            </w:tcMar>
          </w:tcPr>
          <w:p>
            <w:pPr>
              <w:spacing w:before="0" w:after="20" w:line="252" w:lineRule="auto"/>
              <w:jc w:val="center"/>
            </w:pPr>
            <w:r>
              <w:rPr>
                <w:color w:val="1D2733"/>
                <w:sz w:val="16"/>
              </w:rPr>
              <w:t>Before launch</w:t>
            </w:r>
          </w:p>
        </w:tc>
      </w:tr>
      <w:tr>
        <w:trPr>
          <w:cantSplit/>
        </w:trPr>
        <w:tc>
          <w:tcPr>
            <w:tcW w:type="dxa" w:w="700"/>
            <w:noWrap/>
            <w:vAlign w:val="center"/>
            <w:tcMar>
              <w:top w:w="90" w:type="dxa"/>
              <w:start w:w="100" w:type="dxa"/>
              <w:bottom w:w="90" w:type="dxa"/>
              <w:end w:w="100" w:type="dxa"/>
            </w:tcMar>
          </w:tcPr>
          <w:p>
            <w:pPr>
              <w:spacing w:before="0" w:after="0" w:line="259" w:lineRule="auto"/>
              <w:jc w:val="center"/>
            </w:pPr>
            <w:r>
              <w:rPr>
                <w:rFonts w:ascii="Arial" w:hAnsi="Arial" w:eastAsia="Arial" w:cs="Arial"/>
                <w:color w:val="243246"/>
                <w:sz w:val="15"/>
              </w:rPr>
              <w:t>V16</w:t>
            </w:r>
          </w:p>
        </w:tc>
        <w:tc>
          <w:tcPr>
            <w:tcW w:type="dxa" w:w="330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Activate and test proposed role-based email inboxes</w:t>
            </w:r>
          </w:p>
        </w:tc>
        <w:tc>
          <w:tcPr>
            <w:tcW w:type="dxa" w:w="275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Namecheap mailbox/forwarder creation, SPF/DKIM/DMARC alignment, delivery tests and ownership register</w:t>
            </w:r>
          </w:p>
        </w:tc>
        <w:tc>
          <w:tcPr>
            <w:tcW w:type="dxa" w:w="135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IT / Security / Corp. Comms.</w:t>
            </w:r>
          </w:p>
        </w:tc>
        <w:tc>
          <w:tcPr>
            <w:tcW w:type="dxa" w:w="126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Before public use</w:t>
            </w:r>
          </w:p>
        </w:tc>
      </w:tr>
      <w:tr>
        <w:trPr>
          <w:cantSplit/>
        </w:trPr>
        <w:tc>
          <w:tcPr>
            <w:tcW w:type="dxa" w:w="700"/>
            <w:noWrap/>
            <w:vAlign w:val="center"/>
            <w:tcMar>
              <w:top w:w="90" w:type="dxa"/>
              <w:start w:w="100" w:type="dxa"/>
              <w:bottom w:w="90" w:type="dxa"/>
              <w:end w:w="100" w:type="dxa"/>
            </w:tcMar>
          </w:tcPr>
          <w:p>
            <w:pPr>
              <w:spacing w:before="0" w:after="0" w:line="259" w:lineRule="auto"/>
              <w:jc w:val="center"/>
            </w:pPr>
            <w:r>
              <w:rPr>
                <w:rFonts w:ascii="Arial" w:hAnsi="Arial" w:eastAsia="Arial" w:cs="Arial"/>
                <w:color w:val="243246"/>
                <w:sz w:val="15"/>
              </w:rPr>
              <w:t>V17</w:t>
            </w:r>
          </w:p>
        </w:tc>
        <w:tc>
          <w:tcPr>
            <w:tcW w:type="dxa" w:w="330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Confirm the authorised public name, title and biography for the supplied leadership portraits</w:t>
            </w:r>
          </w:p>
        </w:tc>
        <w:tc>
          <w:tcPr>
            <w:tcW w:type="dxa" w:w="275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Board/HR-approved leadership profile and publication approval</w:t>
            </w:r>
          </w:p>
        </w:tc>
        <w:tc>
          <w:tcPr>
            <w:tcW w:type="dxa" w:w="135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CEO / Corp. Comms.</w:t>
            </w:r>
          </w:p>
        </w:tc>
        <w:tc>
          <w:tcPr>
            <w:tcW w:type="dxa" w:w="126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Before named publication</w:t>
            </w:r>
          </w:p>
        </w:tc>
      </w:tr>
      <w:tr>
        <w:trPr>
          <w:cantSplit/>
        </w:trPr>
        <w:tc>
          <w:tcPr>
            <w:tcW w:type="dxa" w:w="700"/>
            <w:noWrap/>
            <w:vAlign w:val="center"/>
            <w:tcMar>
              <w:top w:w="90" w:type="dxa"/>
              <w:start w:w="100" w:type="dxa"/>
              <w:bottom w:w="90" w:type="dxa"/>
              <w:end w:w="100" w:type="dxa"/>
            </w:tcMar>
          </w:tcPr>
          <w:p>
            <w:pPr>
              <w:spacing w:before="0" w:after="0" w:line="259" w:lineRule="auto"/>
              <w:jc w:val="center"/>
            </w:pPr>
            <w:r>
              <w:rPr>
                <w:rFonts w:ascii="Arial" w:hAnsi="Arial" w:eastAsia="Arial" w:cs="Arial"/>
                <w:color w:val="243246"/>
                <w:sz w:val="15"/>
              </w:rPr>
              <w:t>V18</w:t>
            </w:r>
          </w:p>
        </w:tc>
        <w:tc>
          <w:tcPr>
            <w:tcW w:type="dxa" w:w="330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Prioritise the expanded sector and product portfolio</w:t>
            </w:r>
          </w:p>
        </w:tc>
        <w:tc>
          <w:tcPr>
            <w:tcW w:type="dxa" w:w="275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Nigeria/Africa discovery evidence, capacity plan, regulatory screen, budget and portfolio decision</w:t>
            </w:r>
          </w:p>
        </w:tc>
        <w:tc>
          <w:tcPr>
            <w:tcW w:type="dxa" w:w="135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Portfolio Committee</w:t>
            </w:r>
          </w:p>
        </w:tc>
        <w:tc>
          <w:tcPr>
            <w:tcW w:type="dxa" w:w="1260"/>
            <w:vAlign w:val="center"/>
            <w:tcMar>
              <w:top w:w="90" w:type="dxa"/>
              <w:start w:w="100" w:type="dxa"/>
              <w:bottom w:w="90" w:type="dxa"/>
              <w:end w:w="100" w:type="dxa"/>
            </w:tcMar>
          </w:tcPr>
          <w:p>
            <w:pPr>
              <w:spacing w:before="0" w:after="0" w:line="259" w:lineRule="auto"/>
            </w:pPr>
            <w:r>
              <w:rPr>
                <w:rFonts w:ascii="Arial" w:hAnsi="Arial" w:eastAsia="Arial" w:cs="Arial"/>
                <w:color w:val="243246"/>
                <w:sz w:val="17"/>
              </w:rPr>
              <w:t>Quarterly gate</w:t>
            </w:r>
          </w:p>
        </w:tc>
      </w:tr>
      <w:tr>
        <w:tc>
          <w:tcPr>
            <w:tcW w:type="dxa" w:w="700"/>
            <w:tcMar>
              <w:top w:w="90" w:type="dxa"/>
              <w:start w:w="100" w:type="dxa"/>
              <w:bottom w:w="90" w:type="dxa"/>
              <w:end w:w="100" w:type="dxa"/>
            </w:tcMar>
            <w:vAlign w:val="center"/>
          </w:tcPr>
          <w:p>
            <w:r>
              <w:t>V19</w:t>
            </w:r>
          </w:p>
        </w:tc>
        <w:tc>
          <w:tcPr>
            <w:tcW w:type="dxa" w:w="3300"/>
            <w:tcMar>
              <w:top w:w="90" w:type="dxa"/>
              <w:start w:w="100" w:type="dxa"/>
              <w:bottom w:w="90" w:type="dxa"/>
              <w:end w:w="100" w:type="dxa"/>
            </w:tcMar>
            <w:vAlign w:val="center"/>
          </w:tcPr>
          <w:p>
            <w:r>
              <w:t>Digital discovery and advertising identifiers</w:t>
            </w:r>
          </w:p>
        </w:tc>
        <w:tc>
          <w:tcPr>
            <w:tcW w:type="dxa" w:w="2750"/>
            <w:tcMar>
              <w:top w:w="90" w:type="dxa"/>
              <w:start w:w="100" w:type="dxa"/>
              <w:bottom w:w="90" w:type="dxa"/>
              <w:end w:w="100" w:type="dxa"/>
            </w:tcMar>
            <w:vAlign w:val="center"/>
          </w:tcPr>
          <w:p>
            <w:r>
              <w:t>GA4 G-CLFV1L0KVJ is confirmed for rihuum.tech; obtain and verify .com/.net GA4, GTM, Search Console, AdSense and seller values.</w:t>
            </w:r>
          </w:p>
        </w:tc>
        <w:tc>
          <w:tcPr>
            <w:tcW w:type="dxa" w:w="1350"/>
            <w:tcMar>
              <w:top w:w="90" w:type="dxa"/>
              <w:start w:w="100" w:type="dxa"/>
              <w:bottom w:w="90" w:type="dxa"/>
              <w:end w:w="100" w:type="dxa"/>
            </w:tcMar>
            <w:vAlign w:val="center"/>
          </w:tcPr>
          <w:p>
            <w:r>
              <w:t>Marketing / Privacy / CTO</w:t>
            </w:r>
          </w:p>
        </w:tc>
        <w:tc>
          <w:tcPr>
            <w:tcW w:type="dxa" w:w="1260"/>
            <w:tcMar>
              <w:top w:w="90" w:type="dxa"/>
              <w:start w:w="100" w:type="dxa"/>
              <w:bottom w:w="90" w:type="dxa"/>
              <w:end w:w="100" w:type="dxa"/>
            </w:tcMar>
            <w:vAlign w:val="center"/>
          </w:tcPr>
          <w:p>
            <w:r>
              <w:t>Before activation</w:t>
            </w:r>
          </w:p>
        </w:tc>
      </w:tr>
      <w:tr>
        <w:tc>
          <w:tcPr>
            <w:tcW w:type="dxa" w:w="700"/>
            <w:tcMar>
              <w:top w:w="90" w:type="dxa"/>
              <w:start w:w="100" w:type="dxa"/>
              <w:bottom w:w="90" w:type="dxa"/>
              <w:end w:w="100" w:type="dxa"/>
            </w:tcMar>
            <w:vAlign w:val="center"/>
          </w:tcPr>
          <w:p>
            <w:r>
              <w:t>V20</w:t>
            </w:r>
          </w:p>
        </w:tc>
        <w:tc>
          <w:tcPr>
            <w:tcW w:type="dxa" w:w="3300"/>
            <w:tcMar>
              <w:top w:w="90" w:type="dxa"/>
              <w:start w:w="100" w:type="dxa"/>
              <w:bottom w:w="90" w:type="dxa"/>
              <w:end w:w="100" w:type="dxa"/>
            </w:tcMar>
            <w:vAlign w:val="center"/>
          </w:tcPr>
          <w:p>
            <w:r>
              <w:t>External provider and API assets</w:t>
            </w:r>
          </w:p>
        </w:tc>
        <w:tc>
          <w:tcPr>
            <w:tcW w:type="dxa" w:w="2750"/>
            <w:tcMar>
              <w:top w:w="90" w:type="dxa"/>
              <w:start w:w="100" w:type="dxa"/>
              <w:bottom w:w="90" w:type="dxa"/>
              <w:end w:w="100" w:type="dxa"/>
            </w:tcMar>
            <w:vAlign w:val="center"/>
          </w:tcPr>
          <w:p>
            <w:r>
              <w:t>Register contract, environment, public identifiers, protected secrets, mappings, webhooks, tests, monitoring, rollback and production approval in RME 0.3.</w:t>
            </w:r>
          </w:p>
        </w:tc>
        <w:tc>
          <w:tcPr>
            <w:tcW w:type="dxa" w:w="1350"/>
            <w:tcMar>
              <w:top w:w="90" w:type="dxa"/>
              <w:start w:w="100" w:type="dxa"/>
              <w:bottom w:w="90" w:type="dxa"/>
              <w:end w:w="100" w:type="dxa"/>
            </w:tcMar>
            <w:vAlign w:val="center"/>
          </w:tcPr>
          <w:p>
            <w:r>
              <w:t>Product / Security / Service Ops</w:t>
            </w:r>
          </w:p>
        </w:tc>
        <w:tc>
          <w:tcPr>
            <w:tcW w:type="dxa" w:w="1260"/>
            <w:tcMar>
              <w:top w:w="90" w:type="dxa"/>
              <w:start w:w="100" w:type="dxa"/>
              <w:bottom w:w="90" w:type="dxa"/>
              <w:end w:w="100" w:type="dxa"/>
            </w:tcMar>
            <w:vAlign w:val="center"/>
          </w:tcPr>
          <w:p>
            <w:r>
              <w:t>Per provider</w:t>
            </w:r>
          </w:p>
        </w:tc>
      </w:tr>
    </w:tbl>
    <w:p>
      <w:pPr>
        <w:pStyle w:val="Heading2"/>
      </w:pPr>
      <w:r>
        <w:t>Controlled completion</w:t>
      </w:r>
    </w:p>
    <w:p>
      <w:r>
        <w:t>When an item is verified, attach the authoritative evidence, record the approver and effective date, update affected websites/templates/contracts/systems, increment this document version as appropriate and retain the superseded copy. No employee or vendor may fill an unknown field with an assumed number, address, certification or licence.</w:t>
      </w:r>
    </w:p>
    <w:p>
      <w:pPr>
        <w:keepNext/>
        <w:jc w:val="center"/>
      </w:pPr>
      <w:r>
        <w:drawing>
          <wp:inline xmlns:a="http://schemas.openxmlformats.org/drawingml/2006/main" xmlns:pic="http://schemas.openxmlformats.org/drawingml/2006/picture">
            <wp:extent cx="1463040" cy="1463040"/>
            <wp:docPr id="5" name="Picture 5" descr="Official gold Rihuum Intercontinental Limited R emblem supplied and approved by the board." title="Official Rihuum Intercontinental Limited logo"/>
            <wp:cNvGraphicFramePr>
              <a:graphicFrameLocks noChangeAspect="1"/>
            </wp:cNvGraphicFramePr>
            <a:graphic>
              <a:graphicData uri="http://schemas.openxmlformats.org/drawingml/2006/picture">
                <pic:pic>
                  <pic:nvPicPr>
                    <pic:cNvPr id="0" name="rihuum-official-logo-cropped.png"/>
                    <pic:cNvPicPr/>
                  </pic:nvPicPr>
                  <pic:blipFill>
                    <a:blip r:embed="rId11"/>
                    <a:stretch>
                      <a:fillRect/>
                    </a:stretch>
                  </pic:blipFill>
                  <pic:spPr>
                    <a:xfrm>
                      <a:off x="0" y="0"/>
                      <a:ext cx="1463040" cy="1463040"/>
                    </a:xfrm>
                    <a:prstGeom prst="rect"/>
                  </pic:spPr>
                </pic:pic>
              </a:graphicData>
            </a:graphic>
          </wp:inline>
        </w:drawing>
      </w:r>
    </w:p>
    <w:p>
      <w:pPr>
        <w:pStyle w:val="Caption"/>
        <w:jc w:val="center"/>
      </w:pPr>
      <w:r>
        <w:t>Figure 4. Official Rihuum Intercontinental Limited logo</w:t>
      </w:r>
    </w:p>
    <w:p>
      <w:pPr>
        <w:jc w:val="center"/>
      </w:pPr>
      <w:r>
        <w:rPr>
          <w:b/>
          <w:color w:val="102A43"/>
        </w:rPr>
        <w:t>Rihuum Intercontinental Limited | RC 1476119</w:t>
        <w:br/>
        <w:t>rihuumconsult@gmail.com | 09162102777 | 08082407830 | 07031321663</w:t>
        <w:br/>
      </w:r>
      <w:hyperlink r:id="rId13">
        <w:r>
          <w:rPr>
            <w:color w:val="2E74B5"/>
            <w:u w:val="single"/>
          </w:rPr>
          <w:t>Built and Developed by Rihuum Intercontinental Limited - www.rihuum.tech</w:t>
        </w:r>
      </w:hyperlink>
    </w:p>
    <w:p>
      <w:pPr>
        <w:pStyle w:val="Heading1"/>
        <w:pageBreakBefore/>
      </w:pPr>
      <w:bookmarkStart w:id="9001" w:name="apph"/>
      <w:r>
        <w:t>APPENDIX H | Nigeria and Africa Market and Portfolio Expansion</w:t>
      </w:r>
      <w:bookmarkEnd w:id="9001"/>
    </w:p>
    <w:p>
      <w:pPr>
        <w:pStyle w:val="LeadCallout"/>
      </w:pPr>
      <w:r>
        <w:t>Control: This appendix expands the approved portfolio map using current official and industry evidence. It does not authorise simultaneous development of every named direction. Each product or sector must pass customer, capability, legal, security, commercial and lifecycle gates before investment or sale.</w:t>
      </w:r>
    </w:p>
    <w:p>
      <w:pPr>
        <w:pStyle w:val="Heading2"/>
      </w:pPr>
      <w:r>
        <w:t>Purpose and strategic interpretation</w:t>
      </w:r>
    </w:p>
    <w:p>
      <w:pPr/>
      <w:r>
        <w:t>Nigeria is the reference market for Rihuum's first repeatable products and services; selected West African and wider African corridors follow only after delivery evidence. The opportunity is not simply that more organisations will come online. It is that businesses, institutions and communities need secure operating systems adapted to mobile access, affordability, fragmented workflows, local payment rails, field work, language diversity, trust and regional trade.</w:t>
      </w:r>
    </w:p>
    <w:p>
      <w:pPr>
        <w:pStyle w:val="Heading2"/>
      </w:pPr>
      <w:r>
        <w:t>Evidence-led market signals</w:t>
      </w:r>
    </w:p>
    <w:p>
      <w:pPr>
        <w:pStyle w:val="Heading3"/>
      </w:pPr>
      <w:r>
        <w:t>$240 billion mobile contribution</w:t>
      </w:r>
    </w:p>
    <w:p>
      <w:pPr/>
      <w:r>
        <w:rPr>
          <w:b/>
        </w:rPr>
        <w:t xml:space="preserve">Evidence: </w:t>
      </w:r>
      <w:r>
        <w:t>GSMA reports that mobile technologies and services contributed $240 billion, or 7.8% of African GDP, in 2025.</w:t>
      </w:r>
    </w:p>
    <w:p>
      <w:pPr/>
      <w:r>
        <w:rPr>
          <w:b/>
        </w:rPr>
        <w:t xml:space="preserve">Rihuum response: </w:t>
      </w:r>
      <w:r>
        <w:t>Design mobile access, service APIs, identity and payments as platform capabilities.</w:t>
      </w:r>
    </w:p>
    <w:p>
      <w:pPr>
        <w:pStyle w:val="Heading3"/>
      </w:pPr>
      <w:r>
        <w:t>63% mobile-internet usage gap</w:t>
      </w:r>
    </w:p>
    <w:p>
      <w:pPr/>
      <w:r>
        <w:rPr>
          <w:b/>
        </w:rPr>
        <w:t xml:space="preserve">Evidence: </w:t>
      </w:r>
      <w:r>
        <w:t>GSMA estimates that 63% of Africans live within mobile-broadband coverage but are not using mobile internet.</w:t>
      </w:r>
    </w:p>
    <w:p>
      <w:pPr/>
      <w:r>
        <w:rPr>
          <w:b/>
        </w:rPr>
        <w:t xml:space="preserve">Rihuum response: </w:t>
      </w:r>
      <w:r>
        <w:t>Treat low-data, affordability, skills, accessibility and relevant content as adoption requirements.</w:t>
      </w:r>
    </w:p>
    <w:p>
      <w:pPr>
        <w:pStyle w:val="Heading3"/>
      </w:pPr>
      <w:r>
        <w:t>Nigeria Payments System Vision 2028</w:t>
      </w:r>
    </w:p>
    <w:p>
      <w:pPr/>
      <w:r>
        <w:rPr>
          <w:b/>
        </w:rPr>
        <w:t xml:space="preserve">Evidence: </w:t>
      </w:r>
      <w:r>
        <w:t>The CBN's current vision is organised around interoperability, security, inclusion, innovation, trust and collaboration.</w:t>
      </w:r>
    </w:p>
    <w:p>
      <w:pPr/>
      <w:r>
        <w:rPr>
          <w:b/>
        </w:rPr>
        <w:t xml:space="preserve">Rihuum response: </w:t>
      </w:r>
      <w:r>
        <w:t>Integrate licensed payment providers through replaceable adapters, reconciliation and audit; do not imply an unlicensed payment role.</w:t>
      </w:r>
    </w:p>
    <w:p>
      <w:pPr>
        <w:pStyle w:val="Heading3"/>
      </w:pPr>
      <w:r>
        <w:t>300,000 initial 3MTT learners</w:t>
      </w:r>
    </w:p>
    <w:p>
      <w:pPr/>
      <w:r>
        <w:rPr>
          <w:b/>
        </w:rPr>
        <w:t xml:space="preserve">Evidence: </w:t>
      </w:r>
      <w:r>
        <w:t>Nigeria's 3MTT programme states that its first two phases cover 300,000 learners across technical disciplines.</w:t>
      </w:r>
    </w:p>
    <w:p>
      <w:pPr/>
      <w:r>
        <w:rPr>
          <w:b/>
        </w:rPr>
        <w:t xml:space="preserve">Rihuum response: </w:t>
      </w:r>
      <w:r>
        <w:t>Connect Rihuum Technology and Digital Hub programmes to practical projects, portfolio evidence and employer outcomes.</w:t>
      </w:r>
    </w:p>
    <w:p>
      <w:pPr>
        <w:pStyle w:val="Heading3"/>
      </w:pPr>
      <w:r>
        <w:t>AfCFTA digital-trade direction</w:t>
      </w:r>
    </w:p>
    <w:p>
      <w:pPr/>
      <w:r>
        <w:rPr>
          <w:b/>
        </w:rPr>
        <w:t xml:space="preserve">Evidence: </w:t>
      </w:r>
      <w:r>
        <w:t>The African Union adopted the AfCFTA Protocol on Digital Trade in February 2024 to support secure, trustworthy and interoperable digital trade.</w:t>
      </w:r>
    </w:p>
    <w:p>
      <w:pPr/>
      <w:r>
        <w:rPr>
          <w:b/>
        </w:rPr>
        <w:t xml:space="preserve">Rihuum response: </w:t>
      </w:r>
      <w:r>
        <w:t>Build configurable country, currency, language, document and integration layers, with corridor-specific legal validation.</w:t>
      </w:r>
    </w:p>
    <w:p>
      <w:pPr>
        <w:pStyle w:val="Heading3"/>
      </w:pPr>
      <w:r>
        <w:t>Nigeria National AI Strategy 2025</w:t>
      </w:r>
    </w:p>
    <w:p>
      <w:pPr/>
      <w:r>
        <w:rPr>
          <w:b/>
        </w:rPr>
        <w:t xml:space="preserve">Evidence: </w:t>
      </w:r>
      <w:r>
        <w:t>NCAIR/NITDA presents responsible AI, local-language capability, skills, research and commercialisation priorities.</w:t>
      </w:r>
    </w:p>
    <w:p>
      <w:pPr/>
      <w:r>
        <w:rPr>
          <w:b/>
        </w:rPr>
        <w:t xml:space="preserve">Rihuum response: </w:t>
      </w:r>
      <w:r>
        <w:t>Evaluate local context, languages, bias, cost, connectivity, security and human authority before AI release.</w:t>
      </w:r>
    </w:p>
    <w:p>
      <w:pPr>
        <w:pStyle w:val="Heading3"/>
      </w:pPr>
      <w:r>
        <w:t>NDP Act and GAID 2025</w:t>
      </w:r>
    </w:p>
    <w:p>
      <w:pPr/>
      <w:r>
        <w:rPr>
          <w:b/>
        </w:rPr>
        <w:t xml:space="preserve">Evidence: </w:t>
      </w:r>
      <w:r>
        <w:t>Nigeria's data-protection regime requires operational attention to purpose, risk, controller/processor duties and privacy-impact assessment.</w:t>
      </w:r>
    </w:p>
    <w:p>
      <w:pPr/>
      <w:r>
        <w:rPr>
          <w:b/>
        </w:rPr>
        <w:t xml:space="preserve">Rihuum response: </w:t>
      </w:r>
      <w:r>
        <w:t>Make privacy and data governance part of discovery, architecture, supplier management, release and support.</w:t>
      </w:r>
    </w:p>
    <w:p>
      <w:pPr>
        <w:pStyle w:val="Heading2"/>
      </w:pPr>
      <w:r>
        <w:t>Portfolio expansion scale</w:t>
      </w:r>
    </w:p>
    <w:p>
      <w:pPr>
        <w:pStyle w:val="Caption"/>
      </w:pPr>
      <w:r>
        <w:t>Table 60. Controlled v2.2 portfolio scale</w:t>
      </w:r>
    </w:p>
    <w:tbl>
      <w:tblPr>
        <w:tblW w:type="dxa" w:w="9120"/>
        <w:jc w:val="left"/>
        <w:tblLayout w:type="fixed"/>
        <w:tblLook w:firstColumn="1" w:firstRow="1" w:lastColumn="0" w:lastRow="0" w:noHBand="0" w:noVBand="1" w:val="04A0"/>
        <w:tblInd w:w="120" w:type="dxa"/>
      </w:tblPr>
      <w:tblGrid>
        <w:gridCol w:w="2500"/>
        <w:gridCol w:w="6620"/>
      </w:tblGrid>
      <w:tr>
        <w:trPr>
          <w:tblHeader/>
        </w:trPr>
        <w:tc>
          <w:tcPr>
            <w:tcW w:type="dxa" w:w="250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Portfolio layer</w:t>
            </w:r>
          </w:p>
        </w:tc>
        <w:tc>
          <w:tcPr>
            <w:tcW w:type="dxa" w:w="662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v2.2 controlled direction</w:t>
            </w:r>
          </w:p>
        </w:tc>
      </w:tr>
      <w:tr>
        <w:tc>
          <w:tcPr>
            <w:tcW w:type="dxa" w:w="25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Shared platform</w:t>
            </w:r>
          </w:p>
        </w:tc>
        <w:tc>
          <w:tcPr>
            <w:tcW w:type="dxa" w:w="66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RME enterprise core; Rihuum OS operating experience; RIA governed intelligence</w:t>
            </w:r>
          </w:p>
        </w:tc>
      </w:tr>
      <w:tr>
        <w:tc>
          <w:tcPr>
            <w:tcW w:type="dxa" w:w="25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Shared application suites</w:t>
            </w:r>
          </w:p>
        </w:tc>
        <w:tc>
          <w:tcPr>
            <w:tcW w:type="dxa" w:w="66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8: operations; people/learning; finance; customer/commerce; projects/service; assets; data; governance/trust</w:t>
            </w:r>
          </w:p>
        </w:tc>
      </w:tr>
      <w:tr>
        <w:tc>
          <w:tcPr>
            <w:tcW w:type="dxa" w:w="25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Industry directions</w:t>
            </w:r>
          </w:p>
        </w:tc>
        <w:tc>
          <w:tcPr>
            <w:tcW w:type="dxa" w:w="66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31 named sector suites plus one custom-sector discovery route</w:t>
            </w:r>
          </w:p>
        </w:tc>
      </w:tr>
      <w:tr>
        <w:tc>
          <w:tcPr>
            <w:tcW w:type="dxa" w:w="25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Products/platforms</w:t>
            </w:r>
          </w:p>
        </w:tc>
        <w:tc>
          <w:tcPr>
            <w:tcW w:type="dxa" w:w="66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16 controlled foundation, service, discovery and planned directions</w:t>
            </w:r>
          </w:p>
        </w:tc>
      </w:tr>
      <w:tr>
        <w:tc>
          <w:tcPr>
            <w:tcW w:type="dxa" w:w="25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Services</w:t>
            </w:r>
          </w:p>
        </w:tc>
        <w:tc>
          <w:tcPr>
            <w:tcW w:type="dxa" w:w="66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14 commercial service lines spanning engineering, AI, trust, infrastructure, industry delivery, research, commerce and venture building</w:t>
            </w:r>
          </w:p>
        </w:tc>
      </w:tr>
    </w:tbl>
    <w:p>
      <w:pPr>
        <w:pStyle w:val="Heading2"/>
      </w:pPr>
      <w:r>
        <w:t>Expanded industry suite register</w:t>
      </w:r>
    </w:p>
    <w:p>
      <w:pPr>
        <w:pStyle w:val="Caption"/>
      </w:pPr>
      <w:r>
        <w:t>Table 61. Named sector families and controlled coverage</w:t>
      </w:r>
    </w:p>
    <w:tbl>
      <w:tblPr>
        <w:tblW w:type="dxa" w:w="9120"/>
        <w:jc w:val="left"/>
        <w:tblLayout w:type="fixed"/>
        <w:tblLook w:firstColumn="1" w:firstRow="1" w:lastColumn="0" w:lastRow="0" w:noHBand="0" w:noVBand="1" w:val="04A0"/>
        <w:tblInd w:w="120" w:type="dxa"/>
      </w:tblPr>
      <w:tblGrid>
        <w:gridCol w:w="2500"/>
        <w:gridCol w:w="6620"/>
      </w:tblGrid>
      <w:tr>
        <w:trPr>
          <w:tblHeader/>
        </w:trPr>
        <w:tc>
          <w:tcPr>
            <w:tcW w:type="dxa" w:w="250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Sector family</w:t>
            </w:r>
          </w:p>
        </w:tc>
        <w:tc>
          <w:tcPr>
            <w:tcW w:type="dxa" w:w="662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Named suite directions</w:t>
            </w:r>
          </w:p>
        </w:tc>
      </w:tr>
      <w:tr>
        <w:tc>
          <w:tcPr>
            <w:tcW w:type="dxa" w:w="25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Enterprise and markets</w:t>
            </w:r>
          </w:p>
        </w:tc>
        <w:tc>
          <w:tcPr>
            <w:tcW w:type="dxa" w:w="66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Enterprise/SME; retail/commerce/distribution; consumer goods/FMCG; cooperatives/associations; artisans/gig/field-service networks</w:t>
            </w:r>
          </w:p>
        </w:tc>
      </w:tr>
      <w:tr>
        <w:tc>
          <w:tcPr>
            <w:tcW w:type="dxa" w:w="25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Government and society</w:t>
            </w:r>
          </w:p>
        </w:tc>
        <w:tc>
          <w:tcPr>
            <w:tcW w:type="dxa" w:w="66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Government/public service; public finance/revenue administration; education/workforce; nonprofit/development; faith/community institutions</w:t>
            </w:r>
          </w:p>
        </w:tc>
      </w:tr>
      <w:tr>
        <w:tc>
          <w:tcPr>
            <w:tcW w:type="dxa" w:w="25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Health and wellbeing</w:t>
            </w:r>
          </w:p>
        </w:tc>
        <w:tc>
          <w:tcPr>
            <w:tcW w:type="dxa" w:w="66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Health/life sciences; pharmaceutical/medical supply chain; sports/fitness/wellness</w:t>
            </w:r>
          </w:p>
        </w:tc>
      </w:tr>
      <w:tr>
        <w:tc>
          <w:tcPr>
            <w:tcW w:type="dxa" w:w="25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Finance and professional services</w:t>
            </w:r>
          </w:p>
        </w:tc>
        <w:tc>
          <w:tcPr>
            <w:tcW w:type="dxa" w:w="66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Banking/finance/insurance; professional/legal services; diaspora/global-community services</w:t>
            </w:r>
          </w:p>
        </w:tc>
      </w:tr>
      <w:tr>
        <w:tc>
          <w:tcPr>
            <w:tcW w:type="dxa" w:w="25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Production and resources</w:t>
            </w:r>
          </w:p>
        </w:tc>
        <w:tc>
          <w:tcPr>
            <w:tcW w:type="dxa" w:w="66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Agriculture/food; manufacturing/industrial; energy/utilities; extractives/natural resources; climate/environment/circular economy</w:t>
            </w:r>
          </w:p>
        </w:tc>
      </w:tr>
      <w:tr>
        <w:tc>
          <w:tcPr>
            <w:tcW w:type="dxa" w:w="25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Movement and trade</w:t>
            </w:r>
          </w:p>
        </w:tc>
        <w:tc>
          <w:tcPr>
            <w:tcW w:type="dxa" w:w="66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Logistics/transport/mobility; travel/tourism/aviation; automotive/service networks; maritime/ports/blue economy; cross-border trade/export/AfCFTA</w:t>
            </w:r>
          </w:p>
        </w:tc>
      </w:tr>
      <w:tr>
        <w:tc>
          <w:tcPr>
            <w:tcW w:type="dxa" w:w="25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Places, services and infrastructure</w:t>
            </w:r>
          </w:p>
        </w:tc>
        <w:tc>
          <w:tcPr>
            <w:tcW w:type="dxa" w:w="66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Hospitality/property/events; construction/real estate/facilities; telecommunications/service providers; security/safety/emergency</w:t>
            </w:r>
          </w:p>
        </w:tc>
      </w:tr>
      <w:tr>
        <w:tc>
          <w:tcPr>
            <w:tcW w:type="dxa" w:w="25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Culture and specialist work</w:t>
            </w:r>
          </w:p>
        </w:tc>
        <w:tc>
          <w:tcPr>
            <w:tcW w:type="dxa" w:w="66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Media/creative/entertainment; custom sector solutions</w:t>
            </w:r>
          </w:p>
        </w:tc>
      </w:tr>
    </w:tbl>
    <w:p>
      <w:pPr>
        <w:pStyle w:val="Heading2"/>
      </w:pPr>
      <w:r>
        <w:t>New product directions added in v2.2</w:t>
      </w:r>
    </w:p>
    <w:p>
      <w:pPr>
        <w:pStyle w:val="ListBullet"/>
        <w:keepLines/>
      </w:pPr>
      <w:r>
        <w:t>Rihuum MarketFlow — mobile-first MSME, merchant, cooperative and distributor operations.</w:t>
      </w:r>
    </w:p>
    <w:p>
      <w:pPr>
        <w:pStyle w:val="ListBullet"/>
        <w:keepLines/>
      </w:pPr>
      <w:r>
        <w:t>Rihuum TradeBridge Africa — trade counterparties, product/document records, logistics milestones and export readiness.</w:t>
      </w:r>
    </w:p>
    <w:p>
      <w:pPr>
        <w:pStyle w:val="ListBullet"/>
        <w:keepLines/>
      </w:pPr>
      <w:r>
        <w:t>Rihuum CivicFlow — authorised public-service requests, cases, permits, programmes, assets and accountable reporting.</w:t>
      </w:r>
    </w:p>
    <w:p>
      <w:pPr>
        <w:pStyle w:val="ListBullet"/>
        <w:keepLines/>
      </w:pPr>
      <w:r>
        <w:t>Rihuum FieldOps — offline-tolerant assignments, forms, inspections, evidence and supervisor command.</w:t>
      </w:r>
    </w:p>
    <w:p>
      <w:pPr>
        <w:pStyle w:val="ListBullet"/>
        <w:keepLines/>
      </w:pPr>
      <w:r>
        <w:t>Rihuum TrustGraph — consent, obligations, controls, approved identity-provider integrations, evidence and incidents.</w:t>
      </w:r>
    </w:p>
    <w:p>
      <w:pPr>
        <w:pStyle w:val="ListBullet"/>
        <w:keepLines/>
      </w:pPr>
      <w:r>
        <w:t>Rihuum African Language and Knowledge Layer — evaluated language, speech, translation and local-knowledge adapters; no universal coverage claim.</w:t>
      </w:r>
    </w:p>
    <w:p>
      <w:pPr>
        <w:pStyle w:val="ListBullet"/>
        <w:keepLines/>
      </w:pPr>
      <w:r>
        <w:t>Rihuum Resilience and Sustainability Platform — energy, water, waste, environmental risk, interventions and impact evidence.</w:t>
      </w:r>
    </w:p>
    <w:p>
      <w:pPr>
        <w:pStyle w:val="Heading2"/>
      </w:pPr>
      <w:r>
        <w:t>Africa-by-design product requirements</w:t>
      </w:r>
    </w:p>
    <w:p>
      <w:pPr>
        <w:pStyle w:val="ListBullet"/>
        <w:keepLines/>
      </w:pPr>
      <w:r>
        <w:t>Mobile-first, responsive, accessible and low-data by default.</w:t>
      </w:r>
    </w:p>
    <w:p>
      <w:pPr>
        <w:pStyle w:val="ListBullet"/>
        <w:keepLines/>
      </w:pPr>
      <w:r>
        <w:t>Offline-tolerant field workflows with conflict-safe synchronisation and supervisor review.</w:t>
      </w:r>
    </w:p>
    <w:p>
      <w:pPr>
        <w:pStyle w:val="ListBullet"/>
        <w:keepLines/>
      </w:pPr>
      <w:r>
        <w:t>Replaceable SMS, email, messaging, USSD and voice adapters only where the use case and provider terms justify them.</w:t>
      </w:r>
    </w:p>
    <w:p>
      <w:pPr>
        <w:pStyle w:val="ListBullet"/>
        <w:keepLines/>
      </w:pPr>
      <w:r>
        <w:t>English-first current delivery with evaluated Nigerian and African language pathways; no unsupported language claims.</w:t>
      </w:r>
    </w:p>
    <w:p>
      <w:pPr>
        <w:pStyle w:val="ListBullet"/>
        <w:keepLines/>
      </w:pPr>
      <w:r>
        <w:t>Multi-currency, multi-country and licensed-payment-provider integration with reconciliation and audit.</w:t>
      </w:r>
    </w:p>
    <w:p>
      <w:pPr>
        <w:pStyle w:val="ListBullet"/>
        <w:keepLines/>
      </w:pPr>
      <w:r>
        <w:t>Tenant isolation, least privilege, purpose limitation, retention, consent where applicable and auditable human authority.</w:t>
      </w:r>
    </w:p>
    <w:p>
      <w:pPr>
        <w:pStyle w:val="ListBullet"/>
        <w:keepLines/>
      </w:pPr>
      <w:r>
        <w:t>Data-location and cross-border transfer decisions made per client, country, contract and risk.</w:t>
      </w:r>
    </w:p>
    <w:p>
      <w:pPr>
        <w:pStyle w:val="ListBullet"/>
        <w:keepLines/>
      </w:pPr>
      <w:r>
        <w:t>Power, device sharing, intermittent networks and field-support constraints included in testing and recovery design.</w:t>
      </w:r>
    </w:p>
    <w:p>
      <w:pPr>
        <w:pStyle w:val="ListBullet"/>
        <w:keepLines/>
      </w:pPr>
      <w:r>
        <w:t>API-first integration with government, financial, telecom, logistics and industry partners; adapters remain replaceable.</w:t>
      </w:r>
    </w:p>
    <w:p>
      <w:pPr>
        <w:pStyle w:val="ListBullet"/>
        <w:keepLines/>
      </w:pPr>
      <w:r>
        <w:t>Progressive hosting from the current application platform to managed cloud, VPS, hybrid or client infrastructure only when triggers justify it.</w:t>
      </w:r>
    </w:p>
    <w:p>
      <w:pPr>
        <w:pStyle w:val="ListBullet"/>
        <w:keepLines/>
      </w:pPr>
      <w:r>
        <w:t>No autonomous high-impact decision without authority boundaries, evaluation, monitoring and human review.</w:t>
      </w:r>
    </w:p>
    <w:p>
      <w:pPr>
        <w:pStyle w:val="ListBullet"/>
        <w:keepLines/>
      </w:pPr>
      <w:r>
        <w:t>Commercialisation begins with one costly workflow and measurable proof—not a simultaneous build across every sector.</w:t>
      </w:r>
    </w:p>
    <w:p>
      <w:pPr>
        <w:pStyle w:val="Heading2"/>
      </w:pPr>
      <w:r>
        <w:t>Immediate 90-day expansion sequence</w:t>
      </w:r>
    </w:p>
    <w:p>
      <w:pPr>
        <w:pStyle w:val="ListNumber"/>
        <w:keepLines/>
      </w:pPr>
      <w:r>
        <w:t>Confirm three priority Nigerian customer segments and one lighthouse workflow per selected segment.</w:t>
      </w:r>
    </w:p>
    <w:p>
      <w:pPr>
        <w:pStyle w:val="ListNumber"/>
        <w:keepLines/>
      </w:pPr>
      <w:r>
        <w:t>Score all expanded suite directions for urgency, reachable buyer, Rihuum right-to-win, regulation, data, delivery capacity, recurring revenue and platform reuse.</w:t>
      </w:r>
    </w:p>
    <w:p>
      <w:pPr>
        <w:pStyle w:val="ListNumber"/>
        <w:keepLines/>
      </w:pPr>
      <w:r>
        <w:t>Choose one RME-powered Rihuum OS thin slice and one revenue-ready service package; pause the rest at discovery status.</w:t>
      </w:r>
    </w:p>
    <w:p>
      <w:pPr>
        <w:pStyle w:val="ListNumber"/>
        <w:keepLines/>
      </w:pPr>
      <w:r>
        <w:t>Interview customers and delivery partners across at least three relevant Nigerian regions and one West African corridor before regional claims.</w:t>
      </w:r>
    </w:p>
    <w:p>
      <w:pPr>
        <w:pStyle w:val="ListNumber"/>
        <w:keepLines/>
      </w:pPr>
      <w:r>
        <w:t>Prototype low-data and offline journeys on representative Android devices and constrained networks.</w:t>
      </w:r>
    </w:p>
    <w:p>
      <w:pPr>
        <w:pStyle w:val="ListNumber"/>
        <w:keepLines/>
      </w:pPr>
      <w:r>
        <w:t>Validate Nigerian privacy, sector, payment, telecom/device, tax and contracting requirements with qualified specialists.</w:t>
      </w:r>
    </w:p>
    <w:p>
      <w:pPr>
        <w:pStyle w:val="ListNumber"/>
        <w:keepLines/>
      </w:pPr>
      <w:r>
        <w:t>Measure adoption, support load, unit cost, reliability, security and willingness to pay before expanding modules.</w:t>
      </w:r>
    </w:p>
    <w:p>
      <w:pPr>
        <w:pStyle w:val="ListNumber"/>
        <w:keepLines/>
      </w:pPr>
      <w:r>
        <w:t>Quarterly, stop, partner, defer or fund each direction using recorded evidence and portfolio capacity.</w:t>
      </w:r>
    </w:p>
    <w:p>
      <w:pPr>
        <w:pStyle w:val="Heading2"/>
      </w:pPr>
      <w:r>
        <w:t>Evidence sources added in v2.2</w:t>
      </w:r>
    </w:p>
    <w:p>
      <w:pPr>
        <w:spacing w:after="80"/>
      </w:pPr>
      <w:r>
        <w:rPr>
          <w:b/>
        </w:rPr>
        <w:t xml:space="preserve">S21. GSMA, The Mobile Economy Africa 2026. </w:t>
      </w:r>
      <w:hyperlink r:id="rId38">
        <w:r>
          <w:rPr>
            <w:color w:val="0A4A88"/>
            <w:u w:val="single"/>
          </w:rPr>
          <w:t>Open official source</w:t>
        </w:r>
      </w:hyperlink>
    </w:p>
    <w:p>
      <w:pPr>
        <w:spacing w:after="80"/>
      </w:pPr>
      <w:r>
        <w:rPr>
          <w:b/>
        </w:rPr>
        <w:t xml:space="preserve">S22. Nigerian Communications Commission, industry statistics. </w:t>
      </w:r>
      <w:hyperlink r:id="rId39">
        <w:r>
          <w:rPr>
            <w:color w:val="0A4A88"/>
            <w:u w:val="single"/>
          </w:rPr>
          <w:t>Open official source</w:t>
        </w:r>
      </w:hyperlink>
    </w:p>
    <w:p>
      <w:pPr>
        <w:spacing w:after="80"/>
      </w:pPr>
      <w:r>
        <w:rPr>
          <w:b/>
        </w:rPr>
        <w:t xml:space="preserve">S23. Central Bank of Nigeria, Payments System Vision 2028. </w:t>
      </w:r>
      <w:hyperlink r:id="rId40">
        <w:r>
          <w:rPr>
            <w:color w:val="0A4A88"/>
            <w:u w:val="single"/>
          </w:rPr>
          <w:t>Open official source</w:t>
        </w:r>
      </w:hyperlink>
    </w:p>
    <w:p>
      <w:pPr>
        <w:spacing w:after="80"/>
      </w:pPr>
      <w:r>
        <w:rPr>
          <w:b/>
        </w:rPr>
        <w:t xml:space="preserve">S24. Federal Ministry of Communications, Innovation &amp; Digital Economy, 3MTT. </w:t>
      </w:r>
      <w:hyperlink r:id="rId41">
        <w:r>
          <w:rPr>
            <w:color w:val="0A4A88"/>
            <w:u w:val="single"/>
          </w:rPr>
          <w:t>Open official source</w:t>
        </w:r>
      </w:hyperlink>
    </w:p>
    <w:p>
      <w:pPr>
        <w:spacing w:after="80"/>
      </w:pPr>
      <w:r>
        <w:rPr>
          <w:b/>
        </w:rPr>
        <w:t xml:space="preserve">S25. African Union, AfCFTA Protocol on Digital Trade. </w:t>
      </w:r>
      <w:hyperlink r:id="rId42">
        <w:r>
          <w:rPr>
            <w:color w:val="0A4A88"/>
            <w:u w:val="single"/>
          </w:rPr>
          <w:t>Open official source</w:t>
        </w:r>
      </w:hyperlink>
    </w:p>
    <w:p>
      <w:pPr>
        <w:spacing w:after="80"/>
      </w:pPr>
      <w:r>
        <w:rPr>
          <w:b/>
        </w:rPr>
        <w:t xml:space="preserve">S26. NCAIR / NITDA, National AI Strategy and programmes. </w:t>
      </w:r>
      <w:hyperlink r:id="rId43">
        <w:r>
          <w:rPr>
            <w:color w:val="0A4A88"/>
            <w:u w:val="single"/>
          </w:rPr>
          <w:t>Open official source</w:t>
        </w:r>
      </w:hyperlink>
    </w:p>
    <w:p>
      <w:pPr>
        <w:spacing w:after="80"/>
      </w:pPr>
      <w:r>
        <w:rPr>
          <w:b/>
        </w:rPr>
        <w:t xml:space="preserve">S27. Nigeria Data Protection Commission, NDP Act implementation and DPIA guidance. </w:t>
      </w:r>
      <w:hyperlink r:id="rId44">
        <w:r>
          <w:rPr>
            <w:color w:val="0A4A88"/>
            <w:u w:val="single"/>
          </w:rPr>
          <w:t>Open official source</w:t>
        </w:r>
      </w:hyperlink>
    </w:p>
    <w:p>
      <w:pPr>
        <w:spacing w:after="80"/>
      </w:pPr>
      <w:r>
        <w:rPr>
          <w:b/>
        </w:rPr>
        <w:t xml:space="preserve">S28. African Union, Digital Transformation Strategy for Africa 2020–2030. </w:t>
      </w:r>
      <w:hyperlink r:id="rId45">
        <w:r>
          <w:rPr>
            <w:color w:val="0A4A88"/>
            <w:u w:val="single"/>
          </w:rPr>
          <w:t>Open official source</w:t>
        </w:r>
      </w:hyperlink>
    </w:p>
    <w:p>
      <w:pPr>
        <w:pStyle w:val="Heading1"/>
        <w:pageBreakBefore/>
      </w:pPr>
      <w:bookmarkStart w:id="9002" w:name="appi"/>
      <w:r>
        <w:t>APPENDIX I | Corporate Communications, Email and Visual Media Register</w:t>
      </w:r>
      <w:bookmarkEnd w:id="9002"/>
    </w:p>
    <w:p>
      <w:pPr>
        <w:pStyle w:val="LeadCallout"/>
      </w:pPr>
      <w:r>
        <w:t>Control: The active addresses below are company-confirmed. Proposed addresses are not presented as operational until Namecheap creation, delivery testing, ownership and security controls are complete. The user expressly reaffirmed on 23 July 2026 that the six supplied portraits may be used independently and that the recognisable likeness may appear as one individual in Rihuum's approved static and cinematic ecosystem media, subject to the safeguards in this appendix.</w:t>
      </w:r>
    </w:p>
    <w:p>
      <w:pPr>
        <w:pStyle w:val="Heading2"/>
      </w:pPr>
      <w:r>
        <w:t>Confirmed active email addresses</w:t>
      </w:r>
    </w:p>
    <w:p>
      <w:pPr>
        <w:pStyle w:val="Caption"/>
      </w:pPr>
      <w:r>
        <w:t>Table 62. Active domain email register</w:t>
      </w:r>
    </w:p>
    <w:tbl>
      <w:tblPr>
        <w:tblW w:type="dxa" w:w="9120"/>
        <w:jc w:val="left"/>
        <w:tblLayout w:type="fixed"/>
        <w:tblLook w:firstColumn="1" w:firstRow="1" w:lastColumn="0" w:lastRow="0" w:noHBand="0" w:noVBand="1" w:val="04A0"/>
        <w:tblInd w:w="120" w:type="dxa"/>
      </w:tblPr>
      <w:tblGrid>
        <w:gridCol w:w="1500"/>
        <w:gridCol w:w="2600"/>
        <w:gridCol w:w="2100"/>
        <w:gridCol w:w="2920"/>
      </w:tblGrid>
      <w:tr>
        <w:trPr>
          <w:tblHeader/>
        </w:trPr>
        <w:tc>
          <w:tcPr>
            <w:tcW w:type="dxa" w:w="150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Domain / channel</w:t>
            </w:r>
          </w:p>
        </w:tc>
        <w:tc>
          <w:tcPr>
            <w:tcW w:type="dxa" w:w="260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Public address</w:t>
            </w:r>
          </w:p>
        </w:tc>
        <w:tc>
          <w:tcPr>
            <w:tcW w:type="dxa" w:w="210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Administrative address</w:t>
            </w:r>
          </w:p>
        </w:tc>
        <w:tc>
          <w:tcPr>
            <w:tcW w:type="dxa" w:w="292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Primary use</w:t>
            </w:r>
          </w:p>
        </w:tc>
      </w:tr>
      <w:tr>
        <w:tc>
          <w:tcPr>
            <w:tcW w:type="dxa" w:w="15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rihuum.com</w:t>
            </w:r>
          </w:p>
        </w:tc>
        <w:tc>
          <w:tcPr>
            <w:tcW w:type="dxa" w:w="26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info@rihuum.com</w:t>
            </w:r>
          </w:p>
        </w:tc>
        <w:tc>
          <w:tcPr>
            <w:tcW w:type="dxa" w:w="21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admin@rihuum.com</w:t>
            </w:r>
          </w:p>
        </w:tc>
        <w:tc>
          <w:tcPr>
            <w:tcW w:type="dxa" w:w="29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Corporate, commercial and general enquiries</w:t>
            </w:r>
          </w:p>
        </w:tc>
      </w:tr>
      <w:tr>
        <w:tc>
          <w:tcPr>
            <w:tcW w:type="dxa" w:w="15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rihuum.tech</w:t>
            </w:r>
          </w:p>
        </w:tc>
        <w:tc>
          <w:tcPr>
            <w:tcW w:type="dxa" w:w="26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info@rihuum.tech</w:t>
            </w:r>
          </w:p>
        </w:tc>
        <w:tc>
          <w:tcPr>
            <w:tcW w:type="dxa" w:w="21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admin@rihuum.tech</w:t>
            </w:r>
          </w:p>
        </w:tc>
        <w:tc>
          <w:tcPr>
            <w:tcW w:type="dxa" w:w="29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Products, AI, Academy and technical enquiries</w:t>
            </w:r>
          </w:p>
        </w:tc>
      </w:tr>
      <w:tr>
        <w:tc>
          <w:tcPr>
            <w:tcW w:type="dxa" w:w="15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rihuum.net</w:t>
            </w:r>
          </w:p>
        </w:tc>
        <w:tc>
          <w:tcPr>
            <w:tcW w:type="dxa" w:w="26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info@rihuum.net</w:t>
            </w:r>
          </w:p>
        </w:tc>
        <w:tc>
          <w:tcPr>
            <w:tcW w:type="dxa" w:w="21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admin@rihuum.net</w:t>
            </w:r>
          </w:p>
        </w:tc>
        <w:tc>
          <w:tcPr>
            <w:tcW w:type="dxa" w:w="29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Client operations, infrastructure and service enquiries</w:t>
            </w:r>
          </w:p>
        </w:tc>
      </w:tr>
      <w:tr>
        <w:tc>
          <w:tcPr>
            <w:tcW w:type="dxa" w:w="15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Continuity</w:t>
            </w:r>
          </w:p>
        </w:tc>
        <w:tc>
          <w:tcPr>
            <w:tcW w:type="dxa" w:w="26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rihuumconsult@gmail.com</w:t>
            </w:r>
          </w:p>
        </w:tc>
        <w:tc>
          <w:tcPr>
            <w:tcW w:type="dxa" w:w="21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w:t>
            </w:r>
          </w:p>
        </w:tc>
        <w:tc>
          <w:tcPr>
            <w:tcW w:type="dxa" w:w="29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Fallback and transition continuity; not the preferred branded identity</w:t>
            </w:r>
          </w:p>
        </w:tc>
      </w:tr>
      <w:tr>
        <w:tc>
          <w:tcPr>
            <w:tcW w:type="dxa" w:w="1500"/>
          </w:tcPr>
          <w:p>
            <w:r>
              <w:t>Finance issuance</w:t>
            </w:r>
          </w:p>
        </w:tc>
        <w:tc>
          <w:tcPr>
            <w:tcW w:type="dxa" w:w="2600"/>
          </w:tcPr>
          <w:p>
            <w:r>
              <w:t>finance@rihuum.com</w:t>
            </w:r>
          </w:p>
        </w:tc>
        <w:tc>
          <w:tcPr>
            <w:tcW w:type="dxa" w:w="2100"/>
          </w:tcPr>
          <w:p>
            <w:r>
              <w:t>Authorised finance issuer</w:t>
            </w:r>
          </w:p>
        </w:tc>
        <w:tc>
          <w:tcPr>
            <w:tcW w:type="dxa" w:w="2920"/>
          </w:tcPr>
          <w:p>
            <w:r>
              <w:t>Controlled invoices and authorised finance records</w:t>
            </w:r>
          </w:p>
        </w:tc>
      </w:tr>
      <w:tr>
        <w:tc>
          <w:tcPr>
            <w:tcW w:type="dxa" w:w="1500"/>
            <w:shd w:fill="E7EFF8" w:val="clear"/>
          </w:tcPr>
          <w:p>
            <w:r>
              <w:t>Payment recording</w:t>
            </w:r>
          </w:p>
        </w:tc>
        <w:tc>
          <w:tcPr>
            <w:tcW w:type="dxa" w:w="2600"/>
            <w:shd w:fill="E7EFF8" w:val="clear"/>
          </w:tcPr>
          <w:p>
            <w:r>
              <w:t>payment@rihuum.com</w:t>
            </w:r>
          </w:p>
        </w:tc>
        <w:tc>
          <w:tcPr>
            <w:tcW w:type="dxa" w:w="2100"/>
            <w:shd w:fill="E7EFF8" w:val="clear"/>
          </w:tcPr>
          <w:p>
            <w:r>
              <w:t>Authorised payment recorder</w:t>
            </w:r>
          </w:p>
        </w:tc>
        <w:tc>
          <w:tcPr>
            <w:tcW w:type="dxa" w:w="2920"/>
            <w:shd w:fill="E7EFF8" w:val="clear"/>
          </w:tcPr>
          <w:p>
            <w:r>
              <w:t>Payment evidence, allocation and reconciliation</w:t>
            </w:r>
          </w:p>
        </w:tc>
      </w:tr>
      <w:tr>
        <w:tc>
          <w:tcPr>
            <w:tcW w:type="dxa" w:w="1500"/>
          </w:tcPr>
          <w:p>
            <w:r>
              <w:t>Finance approval</w:t>
            </w:r>
          </w:p>
        </w:tc>
        <w:tc>
          <w:tcPr>
            <w:tcW w:type="dxa" w:w="2600"/>
          </w:tcPr>
          <w:p>
            <w:r>
              <w:t>account@rihuum.com</w:t>
            </w:r>
          </w:p>
        </w:tc>
        <w:tc>
          <w:tcPr>
            <w:tcW w:type="dxa" w:w="2100"/>
          </w:tcPr>
          <w:p>
            <w:r>
              <w:t>Separate finance approver</w:t>
            </w:r>
          </w:p>
        </w:tc>
        <w:tc>
          <w:tcPr>
            <w:tcW w:type="dxa" w:w="2920"/>
          </w:tcPr>
          <w:p>
            <w:r>
              <w:t>Independent approval and finance-control segregation</w:t>
            </w:r>
          </w:p>
        </w:tc>
      </w:tr>
    </w:tbl>
    <w:p>
      <w:pPr>
        <w:pStyle w:val="Heading2"/>
      </w:pPr>
      <w:r>
        <w:t>Proposed role-based inboxes</w:t>
      </w:r>
    </w:p>
    <w:p>
      <w:pPr>
        <w:pStyle w:val="Caption"/>
      </w:pPr>
      <w:r>
        <w:t>Table 63. Create and test before public use</w:t>
      </w:r>
    </w:p>
    <w:tbl>
      <w:tblPr>
        <w:tblW w:type="dxa" w:w="9120"/>
        <w:jc w:val="left"/>
        <w:tblLayout w:type="fixed"/>
        <w:tblLook w:firstColumn="1" w:firstRow="1" w:lastColumn="0" w:lastRow="0" w:noHBand="0" w:noVBand="1" w:val="04A0"/>
        <w:tblInd w:w="120" w:type="dxa"/>
      </w:tblPr>
      <w:tblGrid>
        <w:gridCol w:w="3000"/>
        <w:gridCol w:w="6120"/>
      </w:tblGrid>
      <w:tr>
        <w:trPr>
          <w:tblHeader/>
        </w:trPr>
        <w:tc>
          <w:tcPr>
            <w:tcW w:type="dxa" w:w="300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Proposed address</w:t>
            </w:r>
          </w:p>
        </w:tc>
        <w:tc>
          <w:tcPr>
            <w:tcW w:type="dxa" w:w="612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Purpose</w:t>
            </w:r>
          </w:p>
        </w:tc>
      </w:tr>
      <w:tr>
        <w:tc>
          <w:tcPr>
            <w:tcW w:type="dxa" w:w="30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sales@rihuum.com</w:t>
            </w:r>
          </w:p>
        </w:tc>
        <w:tc>
          <w:tcPr>
            <w:tcW w:type="dxa" w:w="61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Qualified commercial and proposal enquiries</w:t>
            </w:r>
          </w:p>
        </w:tc>
      </w:tr>
      <w:tr>
        <w:tc>
          <w:tcPr>
            <w:tcW w:type="dxa" w:w="30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partnerships@rihuum.com</w:t>
            </w:r>
          </w:p>
        </w:tc>
        <w:tc>
          <w:tcPr>
            <w:tcW w:type="dxa" w:w="61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Vendors, alliances, investors and institutional partnerships</w:t>
            </w:r>
          </w:p>
        </w:tc>
      </w:tr>
      <w:tr>
        <w:tc>
          <w:tcPr>
            <w:tcW w:type="dxa" w:w="30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careers@rihuum.com</w:t>
            </w:r>
          </w:p>
        </w:tc>
        <w:tc>
          <w:tcPr>
            <w:tcW w:type="dxa" w:w="61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Recruitment and talent enquiries</w:t>
            </w:r>
          </w:p>
        </w:tc>
      </w:tr>
      <w:tr>
        <w:tc>
          <w:tcPr>
            <w:tcW w:type="dxa" w:w="30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legal@rihuum.com</w:t>
            </w:r>
          </w:p>
        </w:tc>
        <w:tc>
          <w:tcPr>
            <w:tcW w:type="dxa" w:w="61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Contracts, notices and intellectual-property correspondence</w:t>
            </w:r>
          </w:p>
        </w:tc>
      </w:tr>
      <w:tr>
        <w:tc>
          <w:tcPr>
            <w:tcW w:type="dxa" w:w="30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privacy@rihuum.com</w:t>
            </w:r>
          </w:p>
        </w:tc>
        <w:tc>
          <w:tcPr>
            <w:tcW w:type="dxa" w:w="61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Data-subject requests and privacy governance</w:t>
            </w:r>
          </w:p>
        </w:tc>
      </w:tr>
      <w:tr>
        <w:tc>
          <w:tcPr>
            <w:tcW w:type="dxa" w:w="30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academy@rihuum.tech</w:t>
            </w:r>
          </w:p>
        </w:tc>
        <w:tc>
          <w:tcPr>
            <w:tcW w:type="dxa" w:w="61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Rihuum Technology and Digital Hub programmes</w:t>
            </w:r>
          </w:p>
        </w:tc>
      </w:tr>
      <w:tr>
        <w:tc>
          <w:tcPr>
            <w:tcW w:type="dxa" w:w="30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products@rihuum.tech</w:t>
            </w:r>
          </w:p>
        </w:tc>
        <w:tc>
          <w:tcPr>
            <w:tcW w:type="dxa" w:w="61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Product discovery, licensing and technical partnerships</w:t>
            </w:r>
          </w:p>
        </w:tc>
      </w:tr>
      <w:tr>
        <w:tc>
          <w:tcPr>
            <w:tcW w:type="dxa" w:w="30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support@rihuum.net</w:t>
            </w:r>
          </w:p>
        </w:tc>
        <w:tc>
          <w:tcPr>
            <w:tcW w:type="dxa" w:w="61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Client service requests and managed support</w:t>
            </w:r>
          </w:p>
        </w:tc>
      </w:tr>
      <w:tr>
        <w:tc>
          <w:tcPr>
            <w:tcW w:type="dxa" w:w="30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security@rihuum.net</w:t>
            </w:r>
          </w:p>
        </w:tc>
        <w:tc>
          <w:tcPr>
            <w:tcW w:type="dxa" w:w="61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Responsible security reports and security operations</w:t>
            </w:r>
          </w:p>
        </w:tc>
      </w:tr>
      <w:tr>
        <w:tc>
          <w:tcPr>
            <w:tcW w:type="dxa" w:w="30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billing@rihuum.net</w:t>
            </w:r>
          </w:p>
        </w:tc>
        <w:tc>
          <w:tcPr>
            <w:tcW w:type="dxa" w:w="61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Invoices, subscriptions and account administration</w:t>
            </w:r>
          </w:p>
        </w:tc>
      </w:tr>
    </w:tbl>
    <w:p>
      <w:pPr>
        <w:pStyle w:val="Heading2"/>
      </w:pPr>
      <w:r>
        <w:t>Email operating rules</w:t>
      </w:r>
    </w:p>
    <w:p>
      <w:pPr>
        <w:pStyle w:val="ListBullet"/>
        <w:keepLines/>
      </w:pPr>
      <w:r>
        <w:t>Publish info@ addresses for general use; keep admin@ addresses limited to authorised administration and recovery.</w:t>
      </w:r>
    </w:p>
    <w:p>
      <w:pPr>
        <w:pStyle w:val="ListBullet"/>
        <w:keepLines/>
      </w:pPr>
      <w:r>
        <w:t>Assign an accountable owner and backup owner to every mailbox or forwarder; prohibit shared passwords and require multi-factor authentication where supported.</w:t>
      </w:r>
    </w:p>
    <w:p>
      <w:pPr>
        <w:pStyle w:val="ListBullet"/>
        <w:keepLines/>
      </w:pPr>
      <w:r>
        <w:t>Preserve and validate MX, SPF, DKIM and DMARC records when connecting Namecheap domains to the application host; website DNS changes must not silently break email.</w:t>
      </w:r>
    </w:p>
    <w:p>
      <w:pPr>
        <w:pStyle w:val="ListBullet"/>
        <w:keepLines/>
      </w:pPr>
      <w:r>
        <w:t>Route support, privacy, security, billing and legal correspondence into controlled queues with acknowledgement, retention, escalation and access rules.</w:t>
      </w:r>
    </w:p>
    <w:p>
      <w:pPr>
        <w:pStyle w:val="ListBullet"/>
        <w:keepLines/>
      </w:pPr>
      <w:r>
        <w:t>Use group aliases/forwarders when several people need a role address; remove access promptly when responsibilities change.</w:t>
      </w:r>
    </w:p>
    <w:p>
      <w:pPr>
        <w:pStyle w:val="ListBullet"/>
        <w:keepLines/>
      </w:pPr>
      <w:r>
        <w:t>Test inbound, outbound, reply, forwarding, spam placement and recovery before publishing any proposed address.</w:t>
      </w:r>
    </w:p>
    <w:p>
      <w:pPr>
        <w:pStyle w:val="Heading2"/>
      </w:pPr>
      <w:r>
        <w:t>Authorised leadership portraits and likeness use</w:t>
      </w:r>
    </w:p>
    <w:p>
      <w:pPr>
        <w:pStyle w:val="ListBullet"/>
        <w:keepLines/>
      </w:pPr>
      <w:r>
        <w:t>Approved source set: six company-supplied photographs received 22 July 2026; independent use and approved identity-preserving derivatives were expressly reaffirmed on 23 July 2026. Preserve each photograph as an independent source asset in the controlled media library.</w:t>
      </w:r>
    </w:p>
    <w:p>
      <w:pPr>
        <w:pStyle w:val="ListBullet"/>
        <w:keepLines/>
      </w:pPr>
      <w:r>
        <w:t>Approved derivative use: the user's recognisable face may be placed on a naturally proportioned body as one individual within Rihuum corporate, Academy, infrastructure, industry and cinematic team scenes.</w:t>
      </w:r>
    </w:p>
    <w:p>
      <w:pPr>
        <w:pStyle w:val="ListBullet"/>
        <w:keepLines/>
      </w:pPr>
      <w:r>
        <w:t>Do not fabricate credentials, named client participation, awards, event attendance, regulated professional status or endorsements that are not supported by company records.</w:t>
      </w:r>
    </w:p>
    <w:p>
      <w:pPr>
        <w:pStyle w:val="ListBullet"/>
        <w:keepLines/>
      </w:pPr>
      <w:r>
        <w:t>Do not create synthetic voice, political messaging, financial instructions, legal authorisation or high-impact impersonation from the likeness without a separate explicit approval and security review.</w:t>
      </w:r>
    </w:p>
    <w:p>
      <w:pPr>
        <w:pStyle w:val="ListBullet"/>
        <w:keepLines/>
      </w:pPr>
      <w:r>
        <w:t>Keep source, prompt/edit brief, output, approval, publication location and retirement status in the digital asset register; remove obsolete or unauthorised derivatives.</w:t>
      </w:r>
    </w:p>
    <w:p>
      <w:pPr>
        <w:pStyle w:val="ListBullet"/>
        <w:keepLines/>
      </w:pPr>
      <w:r>
        <w:t>Use accurate alternative text, strip unnecessary device/location metadata and keep the person as part of Rihuum's human-centred story rather than as an unsupported performance claim.</w:t>
      </w:r>
    </w:p>
    <w:p>
      <w:pPr>
        <w:pStyle w:val="Heading2"/>
        <w:pageBreakBefore/>
      </w:pPr>
      <w:r>
        <w:t>Cinematic media and hosting placement</w:t>
      </w:r>
    </w:p>
    <w:p>
      <w:pPr>
        <w:pStyle w:val="Caption"/>
      </w:pPr>
      <w:r>
        <w:t>Table 64. Current media placement and limits</w:t>
      </w:r>
    </w:p>
    <w:tbl>
      <w:tblPr>
        <w:tblW w:type="dxa" w:w="9120"/>
        <w:jc w:val="left"/>
        <w:tblLayout w:type="fixed"/>
        <w:tblLook w:firstColumn="1" w:firstRow="1" w:lastColumn="0" w:lastRow="0" w:noHBand="0" w:noVBand="1" w:val="04A0"/>
        <w:tblInd w:w="120" w:type="dxa"/>
      </w:tblPr>
      <w:tblGrid>
        <w:gridCol w:w="1800"/>
        <w:gridCol w:w="3400"/>
        <w:gridCol w:w="3920"/>
      </w:tblGrid>
      <w:tr>
        <w:trPr>
          <w:tblHeader/>
        </w:trPr>
        <w:tc>
          <w:tcPr>
            <w:tcW w:type="dxa" w:w="180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Component</w:t>
            </w:r>
          </w:p>
        </w:tc>
        <w:tc>
          <w:tcPr>
            <w:tcW w:type="dxa" w:w="340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Current decision</w:t>
            </w:r>
          </w:p>
        </w:tc>
        <w:tc>
          <w:tcPr>
            <w:tcW w:type="dxa" w:w="3920"/>
            <w:tcMar>
              <w:top w:w="110" w:type="dxa"/>
              <w:start w:w="120" w:type="dxa"/>
              <w:bottom w:w="110" w:type="dxa"/>
              <w:end w:w="120" w:type="dxa"/>
            </w:tcMar>
            <w:vAlign w:val="center"/>
            <w:shd w:fill="0B1F3A"/>
          </w:tcPr>
          <w:p>
            <w:pPr>
              <w:spacing w:before="0" w:after="0" w:line="259" w:lineRule="auto"/>
            </w:pPr>
            <w:r>
              <w:rPr>
                <w:rFonts w:ascii="Arial" w:hAnsi="Arial" w:eastAsia="Arial" w:cs="Arial"/>
                <w:b/>
                <w:color w:val="FFFFFF"/>
                <w:sz w:val="17"/>
              </w:rPr>
              <w:t>Migration / control rule</w:t>
            </w:r>
          </w:p>
        </w:tc>
      </w:tr>
      <w:tr>
        <w:tc>
          <w:tcPr>
            <w:tcW w:type="dxa" w:w="18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Web applications</w:t>
            </w:r>
          </w:p>
        </w:tc>
        <w:tc>
          <w:tcPr>
            <w:tcW w:type="dxa" w:w="34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OpenAI Sites application delivery with D1 controlled application data</w:t>
            </w:r>
          </w:p>
        </w:tc>
        <w:tc>
          <w:tcPr>
            <w:tcW w:type="dxa" w:w="39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Keep source and migrations portable; record release/rollback evidence and move only when measured reliability, isolation, data, job or scale triggers justify it.</w:t>
            </w:r>
          </w:p>
        </w:tc>
      </w:tr>
      <w:tr>
        <w:tc>
          <w:tcPr>
            <w:tcW w:type="dxa" w:w="18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Domains and DNS</w:t>
            </w:r>
          </w:p>
        </w:tc>
        <w:tc>
          <w:tcPr>
            <w:tcW w:type="dxa" w:w="34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Namecheap registrar and authoritative DNS</w:t>
            </w:r>
          </w:p>
        </w:tc>
        <w:tc>
          <w:tcPr>
            <w:tcW w:type="dxa" w:w="39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Use approved canonical/redirect records and preserve MX, SPF, DKIM, DMARC and mailbox continuity.</w:t>
            </w:r>
          </w:p>
        </w:tc>
      </w:tr>
      <w:tr>
        <w:tc>
          <w:tcPr>
            <w:tcW w:type="dxa" w:w="18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Email</w:t>
            </w:r>
          </w:p>
        </w:tc>
        <w:tc>
          <w:tcPr>
            <w:tcW w:type="dxa" w:w="34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Namecheap domain email plus Gmail continuity</w:t>
            </w:r>
          </w:p>
        </w:tc>
        <w:tc>
          <w:tcPr>
            <w:tcW w:type="dxa" w:w="39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Validate MX/SPF/DKIM/DMARC and ownership after every DNS change</w:t>
            </w:r>
          </w:p>
        </w:tc>
      </w:tr>
      <w:tr>
        <w:tc>
          <w:tcPr>
            <w:tcW w:type="dxa" w:w="18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Cinematic videos</w:t>
            </w:r>
          </w:p>
        </w:tc>
        <w:tc>
          <w:tcPr>
            <w:tcW w:type="dxa" w:w="34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Optimised muted MP4 loops on the application host/CDN</w:t>
            </w:r>
          </w:p>
        </w:tc>
        <w:tc>
          <w:tcPr>
            <w:tcW w:type="dxa" w:w="39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Poster images, preload metadata, pause control, reduced-motion fallback and strict asset budget</w:t>
            </w:r>
          </w:p>
        </w:tc>
      </w:tr>
      <w:tr>
        <w:tc>
          <w:tcPr>
            <w:tcW w:type="dxa" w:w="18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Sentinel AI staging candidate</w:t>
            </w:r>
          </w:p>
        </w:tc>
        <w:tc>
          <w:tcPr>
            <w:tcW w:type="dxa" w:w="340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PHP/MySQL v0.2.0-alpha package; bounded Namecheap-compatible staging candidate</w:t>
            </w:r>
          </w:p>
        </w:tc>
        <w:tc>
          <w:tcPr>
            <w:tcW w:type="dxa" w:w="3920"/>
            <w:tcMar>
              <w:top w:w="110" w:type="dxa"/>
              <w:start w:w="120" w:type="dxa"/>
              <w:bottom w:w="110" w:type="dxa"/>
              <w:end w:w="120" w:type="dxa"/>
            </w:tcMar>
            <w:vAlign w:val="center"/>
            <w:shd w:fill="FFFFFF"/>
          </w:tcPr>
          <w:p>
            <w:pPr>
              <w:spacing w:before="0" w:after="0" w:line="259" w:lineRule="auto"/>
            </w:pPr>
            <w:r>
              <w:rPr>
                <w:rFonts w:ascii="Arial" w:hAnsi="Arial" w:eastAsia="Arial" w:cs="Arial"/>
                <w:color w:val="243246"/>
                <w:sz w:val="17"/>
              </w:rPr>
              <w:t>Not the current public Sites/D1 runtime; no live-service claim until install, restore, security, performance, provider and customer acceptance pass.</w:t>
            </w:r>
          </w:p>
        </w:tc>
      </w:tr>
      <w:tr>
        <w:tc>
          <w:tcPr>
            <w:tcW w:type="dxa" w:w="18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Operational media</w:t>
            </w:r>
          </w:p>
        </w:tc>
        <w:tc>
          <w:tcPr>
            <w:tcW w:type="dxa" w:w="340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External/object/specialist storage when required</w:t>
            </w:r>
          </w:p>
        </w:tc>
        <w:tc>
          <w:tcPr>
            <w:tcW w:type="dxa" w:w="3920"/>
            <w:tcMar>
              <w:top w:w="110" w:type="dxa"/>
              <w:start w:w="120" w:type="dxa"/>
              <w:bottom w:w="110" w:type="dxa"/>
              <w:end w:w="120" w:type="dxa"/>
            </w:tcMar>
            <w:vAlign w:val="center"/>
            <w:shd w:fill="EAF1F8"/>
          </w:tcPr>
          <w:p>
            <w:pPr>
              <w:spacing w:before="0" w:after="0" w:line="259" w:lineRule="auto"/>
            </w:pPr>
            <w:r>
              <w:rPr>
                <w:rFonts w:ascii="Arial" w:hAnsi="Arial" w:eastAsia="Arial" w:cs="Arial"/>
                <w:color w:val="243246"/>
                <w:sz w:val="17"/>
              </w:rPr>
              <w:t>Lifecycle, access, encryption, retention, monitoring and recovery must match risk</w:t>
            </w:r>
          </w:p>
        </w:tc>
      </w:tr>
    </w:tbl>
    <w:p>
      <w:pPr>
        <w:spacing w:after="80"/>
      </w:pPr>
      <w:r>
        <w:rPr>
          <w:b/>
        </w:rPr>
        <w:t xml:space="preserve">S29. Namecheap, shared-hosting audio/video policy. </w:t>
      </w:r>
      <w:hyperlink r:id="rId46">
        <w:r>
          <w:rPr>
            <w:color w:val="0A4A88"/>
            <w:u w:val="single"/>
          </w:rPr>
          <w:t>Open official source</w:t>
        </w:r>
      </w:hyperlink>
    </w:p>
    <w:p>
      <w:pPr>
        <w:spacing w:after="80"/>
      </w:pPr>
      <w:r>
        <w:rPr>
          <w:b/>
        </w:rPr>
        <w:t xml:space="preserve">S30. Namecheap, shared-hosting resource restrictions. </w:t>
      </w:r>
      <w:hyperlink r:id="rId47">
        <w:r>
          <w:rPr>
            <w:color w:val="0A4A88"/>
            <w:u w:val="single"/>
          </w:rPr>
          <w:t>Open official source</w:t>
        </w:r>
      </w:hyperlink>
    </w:p>
    <w:p>
      <w:pPr>
        <w:spacing w:after="80"/>
      </w:pPr>
      <w:r>
        <w:rPr>
          <w:b/>
        </w:rPr>
        <w:t xml:space="preserve">S31. Namecheap, shared-hosting plans comparison. </w:t>
      </w:r>
      <w:hyperlink r:id="rId48">
        <w:r>
          <w:rPr>
            <w:color w:val="0A4A88"/>
            <w:u w:val="single"/>
          </w:rPr>
          <w:t>Open official source</w:t>
        </w:r>
      </w:hyperlink>
    </w:p>
    <w:p>
      <w:pPr>
        <w:spacing w:after="80"/>
      </w:pPr>
      <w:r>
        <w:rPr>
          <w:b/>
        </w:rPr>
        <w:t xml:space="preserve">S32. Namecheap, connecting a domain to third-party hosting. </w:t>
      </w:r>
      <w:hyperlink r:id="rId49">
        <w:r>
          <w:rPr>
            <w:color w:val="0A4A88"/>
            <w:u w:val="single"/>
          </w:rPr>
          <w:t>Open official source</w:t>
        </w:r>
      </w:hyperlink>
    </w:p>
    <w:p>
      <w:pPr>
        <w:pStyle w:val="Heading2"/>
      </w:pPr>
      <w:r>
        <w:t>v3.1 controlled conclusion</w:t>
      </w:r>
    </w:p>
    <w:p>
      <w:pPr>
        <w:pStyle w:val="LeadCallout"/>
      </w:pPr>
      <w:r>
        <w:t>Rihuum's future-facing ambition is expressed through a governed opportunity map, not uncontrolled simultaneous delivery. The operating priority is a verified corporate foundation, reusable RME and Rihuum OS contracts, governed RIA intelligence, controlled manual configuration, revenue-ready services, accepted lighthouse workflows and evidence-based decisions to activate, migrate, pause or retire capabilities.</w:t>
      </w:r>
    </w:p>
    <w:p>
      <w:r>
        <w:br w:type="page"/>
      </w:r>
    </w:p>
    <w:p>
      <w:pPr>
        <w:pStyle w:val="Heading1"/>
      </w:pPr>
      <w:r>
        <w:t>CONTROLLED CLOSING RECORD | Version 3.1</w:t>
      </w:r>
    </w:p>
    <w:p>
      <w:pPr>
        <w:pStyle w:val="LeadCallout"/>
      </w:pPr>
      <w:r>
        <w:t>Controlled conclusion: Version 3.1 consolidates the verified corporate foundation, current Digital Ecosystem runtime, RME 0.3 configuration governance, RAHIS release components and Sentinel staging boundary. It is a controlled execution authority, not evidence that unregistered assets, third-party services or production integrations are active.</w:t>
      </w:r>
    </w:p>
    <w:p>
      <w:pPr>
        <w:pStyle w:val="Heading2"/>
      </w:pPr>
      <w:r>
        <w:t>Authoritative platform and release baseline</w:t>
      </w:r>
    </w:p>
    <w:p>
      <w:pPr>
        <w:pStyle w:val="ListBullet"/>
      </w:pPr>
      <w:r>
        <w:t>Rihuum Master Enterprises (RME) is the only current name for the shared enterprise control plane. RETP is retained solely as a superseded historical alias and must not appear in current product naming.</w:t>
      </w:r>
    </w:p>
    <w:p>
      <w:pPr>
        <w:pStyle w:val="ListBullet"/>
      </w:pPr>
      <w:r>
        <w:t>The public Digital Ecosystem currently uses OpenAI Sites for application delivery and D1 for controlled application data. Namecheap remains the registrar, authoritative DNS and domain-email provider.</w:t>
      </w:r>
    </w:p>
    <w:p>
      <w:pPr>
        <w:pStyle w:val="ListBullet"/>
      </w:pPr>
      <w:r>
        <w:t>RME 0.3 Configuration Centre is the governed manual-input surface for public identifiers, provider references, environment settings and activation evidence. Secret values require protected server-side storage.</w:t>
      </w:r>
    </w:p>
    <w:p>
      <w:pPr>
        <w:pStyle w:val="ListBullet"/>
      </w:pPr>
      <w:r>
        <w:t>RAHIS v8.3.0 is the controlled consolidated integration candidate comprising the v8.1 operating core, v8.2 Paystack test/sandbox adapter and v8.2 Sentinel security overlay. Component maturity remains explicit.</w:t>
      </w:r>
    </w:p>
    <w:p>
      <w:pPr>
        <w:pStyle w:val="ListBullet"/>
      </w:pPr>
      <w:r>
        <w:t>Sentinel AI v0.2.0-alpha remains a Namecheap-compatible engineering alpha and staging candidate. Its PHP/MySQL package is not represented as the current public Sites/D1 production runtime.</w:t>
      </w:r>
    </w:p>
    <w:p>
      <w:pPr>
        <w:pStyle w:val="Heading2"/>
      </w:pPr>
      <w:r>
        <w:t>Manual configuration and activation governance</w:t>
      </w:r>
    </w:p>
    <w:p>
      <w:pPr>
        <w:pStyle w:val="ListNumber"/>
        <w:numPr>
          <w:ilvl w:val="0"/>
          <w:numId w:val="24"/>
        </w:numPr>
      </w:pPr>
      <w:r>
        <w:t>Register the asset, provider account, contract, owner, environment and permitted purpose.</w:t>
      </w:r>
    </w:p>
    <w:p>
      <w:pPr>
        <w:pStyle w:val="ListNumber"/>
        <w:numPr>
          <w:ilvl w:val="0"/>
          <w:numId w:val="24"/>
        </w:numPr>
      </w:pPr>
      <w:r>
        <w:t>Classify each value as public identifier, sensitive configuration or secret credential.</w:t>
      </w:r>
    </w:p>
    <w:p>
      <w:pPr>
        <w:pStyle w:val="ListNumber"/>
        <w:numPr>
          <w:ilvl w:val="0"/>
          <w:numId w:val="24"/>
        </w:numPr>
      </w:pPr>
      <w:r>
        <w:t>Enter public values through RME 0.3; store secrets only in protected server-side configuration or an approved vault.</w:t>
      </w:r>
    </w:p>
    <w:p>
      <w:pPr>
        <w:pStyle w:val="ListNumber"/>
        <w:numPr>
          <w:ilvl w:val="0"/>
          <w:numId w:val="24"/>
        </w:numPr>
      </w:pPr>
      <w:r>
        <w:t>Keep the feature disabled until validation, privacy/security review, sandbox testing and rollback evidence are complete.</w:t>
      </w:r>
    </w:p>
    <w:p>
      <w:pPr>
        <w:pStyle w:val="ListNumber"/>
        <w:numPr>
          <w:ilvl w:val="0"/>
          <w:numId w:val="24"/>
        </w:numPr>
      </w:pPr>
      <w:r>
        <w:t>Record activation time, approver, test result, monitoring owner, rotation date and decommissioning method.</w:t>
      </w:r>
    </w:p>
    <w:p>
      <w:pPr>
        <w:pStyle w:val="ListNumber"/>
        <w:numPr>
          <w:ilvl w:val="0"/>
          <w:numId w:val="24"/>
        </w:numPr>
      </w:pPr>
      <w:r>
        <w:t>Display “Not configured” or “Pending verification” when a value is absent; never insert fabricated placeholders.</w:t>
      </w:r>
    </w:p>
    <w:p>
      <w:r>
        <w:br w:type="page"/>
      </w:r>
    </w:p>
    <w:p>
      <w:pPr>
        <w:pStyle w:val="Heading2"/>
      </w:pPr>
      <w:r>
        <w:t>Verified company data and reserved facts</w:t>
      </w:r>
    </w:p>
    <w:p>
      <w:pPr>
        <w:pStyle w:val="ListBullet"/>
      </w:pPr>
      <w:r>
        <w:t>Verified entity: Rihuum Intercontinental Limited, RC 1476119, incorporated 6 March 2018.</w:t>
      </w:r>
    </w:p>
    <w:p>
      <w:pPr>
        <w:pStyle w:val="ListBullet"/>
      </w:pPr>
      <w:r>
        <w:t>Registered-office locality supplied by the company: Abuja, Nigeria.</w:t>
      </w:r>
    </w:p>
    <w:p>
      <w:pPr>
        <w:pStyle w:val="ListBullet"/>
      </w:pPr>
      <w:r>
        <w:t>Authorised finance workflow addresses: finance@rihuum.com for issuance, payment@rihuum.com for recording and account@rihuum.com for separate approval.</w:t>
      </w:r>
    </w:p>
    <w:p>
      <w:pPr>
        <w:pStyle w:val="ListBullet"/>
      </w:pPr>
      <w:r>
        <w:t>The exact registered street address, public correspondence address, Google Maps Place ID and map pin remain unverified and must not be inferred from the Abuja locality.</w:t>
      </w:r>
    </w:p>
    <w:p>
      <w:pPr>
        <w:pStyle w:val="ListBullet"/>
      </w:pPr>
      <w:r>
        <w:t>Rihuum Technology and Digital Hub is company-confirmed as CAC-registered, but its exact CAC number and legal form remain reserved pending certificate/profile verification.</w:t>
      </w:r>
    </w:p>
    <w:p>
      <w:pPr>
        <w:pStyle w:val="Heading2"/>
      </w:pPr>
      <w:r>
        <w:t>Digital discovery and publishing status</w:t>
      </w:r>
    </w:p>
    <w:p>
      <w:pPr>
        <w:pStyle w:val="ListBullet"/>
      </w:pPr>
      <w:r>
        <w:t>Confirmed GA4 measurement ID: G-CLFV1L0KVJ for rihuum.tech only.</w:t>
      </w:r>
    </w:p>
    <w:p>
      <w:pPr>
        <w:pStyle w:val="ListBullet"/>
      </w:pPr>
      <w:r>
        <w:t>GA4 identifiers for rihuum.com and rihuum.net, the GTM container, Search Console verification values, approved AdSense publisher/seller values and Maps API/Place ID remain manual activation inputs.</w:t>
      </w:r>
    </w:p>
    <w:p>
      <w:pPr>
        <w:pStyle w:val="ListBullet"/>
      </w:pPr>
      <w:r>
        <w:t>Search, advertising and maps integrations may be enabled only after account ownership, consent, privacy, content, domain, security and production tests are recorded.</w:t>
      </w:r>
    </w:p>
    <w:p>
      <w:pPr>
        <w:pStyle w:val="Heading2"/>
      </w:pPr>
      <w:r>
        <w:t>Completion truth and open gates</w:t>
      </w:r>
    </w:p>
    <w:p>
      <w:pPr>
        <w:pStyle w:val="RiskCallout"/>
      </w:pPr>
      <w:r>
        <w:t>Current completion boundary: the architecture, configuration surfaces and controlled release candidates are established. Live OTA/channel connections, production payment processing, hotel hardware, third-party APIs, Sentinel collectors, customer UAT, penetration testing, recovery rehearsals, exact legal identifiers and formal production sign-off remain provider- or evidence-dependent gates. No document or website may convert a configured, packaged or test-mode capability into a live-operation claim.</w:t>
      </w:r>
    </w:p>
    <w:p>
      <w:pPr>
        <w:pStyle w:val="Heading2"/>
      </w:pPr>
      <w:r>
        <w:t>Forward roadmap</w:t>
      </w:r>
    </w:p>
    <w:p>
      <w:pPr>
        <w:pStyle w:val="ListBullet"/>
      </w:pPr>
      <w:r>
        <w:t>Near term: complete asset registration, RME 0.3 configuration records, provider sandboxes, release evidence and first controlled customer acceptance.</w:t>
      </w:r>
    </w:p>
    <w:p>
      <w:pPr>
        <w:pStyle w:val="ListBullet"/>
      </w:pPr>
      <w:r>
        <w:t>Scale trigger: move workers, queues, high-volume integrations or stronger isolation to VPS/managed services when measured reliability, security or capacity thresholds require it.</w:t>
      </w:r>
    </w:p>
    <w:p>
      <w:pPr>
        <w:pStyle w:val="ListBullet"/>
      </w:pPr>
      <w:r>
        <w:t>Hybrid stage: keep customer-local collectors and hotel bridges outbound-only while central governance remains tenant-scoped and auditable.</w:t>
      </w:r>
    </w:p>
    <w:p>
      <w:pPr>
        <w:pStyle w:val="ListBullet"/>
      </w:pPr>
      <w:r>
        <w:t>Long term: adopt regional cloud/SaaS, HA/DR, data-residency and formal SRE controls only when commercial scale and service objectives justify them.</w:t>
      </w:r>
    </w:p>
    <w:p>
      <w:pPr>
        <w:pStyle w:val="Heading2"/>
      </w:pPr>
      <w:r>
        <w:t>Version 3.1 controlled conclusion</w:t>
      </w:r>
    </w:p>
    <w:p>
      <w:pPr>
        <w:pStyle w:val="LeadCallout"/>
      </w:pPr>
      <w:r>
        <w:t>Rihuum can evolve without rebuilding its foundation when every product reuses RME contracts, separates systems of record, keeps intelligence within explicit authority, records manual configuration as controlled data, and treats commissioning evidence—not ambition—as the boundary of every public claim.</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67085"/>
        <w:sz w:val="15"/>
      </w:rPr>
      <w:t>Rihuum Intercontinental Limited | RC 1476119 | www.rihuum.com | www.rihuum.tech | www.rihuum.net</w:t>
    </w:r>
  </w:p>
  <w:p>
    <w:pPr>
      <w:spacing w:before="0" w:after="0"/>
      <w:jc w:val="center"/>
    </w:pPr>
    <w:r>
      <w:rPr>
        <w:color w:val="667085"/>
        <w:sz w:val="15"/>
      </w:rPr>
      <w:t>info@rihuum.com | 09162102777 | 08082407830 | 07031321663</w:t>
    </w:r>
  </w:p>
  <w:p>
    <w:pPr>
      <w:tabs>
        <w:tab w:pos="9360" w:val="right"/>
      </w:tabs>
      <w:spacing w:before="0" w:after="0"/>
    </w:pPr>
    <w:hyperlink r:id="rId1">
      <w:r>
        <w:rPr>
          <w:color w:val="1F4D78"/>
          <w:b/>
          <w:sz w:val="15"/>
        </w:rPr>
        <w:t>Built and Developed by Rihuum Intercontinental Limited</w:t>
      </w:r>
    </w:hyperlink>
    <w:r>
      <w:rPr>
        <w:sz w:val="15"/>
      </w:rPr>
      <w:tab/>
      <w:t xml:space="preserve">Page </w:t>
    </w:r>
    <w:r>
      <w:rPr>
        <w:sz w:val="15"/>
      </w:rPr>
      <w:fldChar w:fldCharType="begin"/>
    </w:r>
    <w:r>
      <w:rPr>
        <w:sz w:val="15"/>
      </w:rPr>
      <w:instrText xml:space="preserve">PAGE</w:instrText>
    </w:r>
    <w:r>
      <w:rPr>
        <w:sz w:val="15"/>
      </w:rPr>
      <w:fldChar w:fldCharType="separate"/>
    </w:r>
    <w:r>
      <w:rPr>
        <w:sz w:val="15"/>
      </w:rPr>
      <w:t>1</w:t>
    </w:r>
    <w:r>
      <w:rPr>
        <w:sz w:val="15"/>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jc w:val="right"/>
      <w:pBdr>
        <w:bottom w:val="single" w:sz="10" w:space="4" w:color="C99A2E"/>
      </w:pBdr>
    </w:pPr>
    <w:r>
      <w:t>RIHUUM INTERCONTINENTAL LIMITED | MASTER BLUEPRINT | v3.1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abstractNum w:abstractNumId="9">
    <w:multiLevelType w:val="singleLevel"/>
    <w:lvl w:ilvl="0">
      <w:start w:val="1"/>
      <w:numFmt w:val="decimal"/>
      <w:lvlText w:val="%1."/>
      <w:suff w:val="tab"/>
      <w:pPr>
        <w:tabs>
          <w:tab w:val="num" w:pos="720"/>
        </w:tabs>
        <w:ind w:left="720" w:hanging="360"/>
      </w:pPr>
    </w:lvl>
  </w:abstract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59" w:lineRule="auto"/>
    </w:pPr>
    <w:rPr>
      <w:rFonts w:ascii="Arial" w:hAnsi="Arial"/>
      <w:color w:val="1F2937"/>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200" w:after="100"/>
      <w:outlineLvl w:val="0"/>
    </w:pPr>
    <w:rPr>
      <w:rFonts w:asciiTheme="majorHAnsi" w:eastAsiaTheme="majorEastAsia" w:hAnsiTheme="majorHAnsi" w:cstheme="majorBidi" w:ascii="Arial" w:hAnsi="Arial"/>
      <w:b/>
      <w:bCs/>
      <w:color w:val="12233F"/>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1B5FA7"/>
      <w:sz w:val="27"/>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B88A2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2233F"/>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b/>
      <w:i/>
      <w:iCs/>
      <w:color w:val="1B5FA7"/>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spacing w:line="240" w:lineRule="auto" w:before="100" w:after="100"/>
    </w:pPr>
    <w:rPr>
      <w:rFonts w:ascii="Calibri" w:hAnsi="Calibri"/>
      <w:b/>
      <w:bCs/>
      <w:color w:val="1F4D78"/>
      <w:sz w:val="19"/>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Callout">
    <w:name w:val="Lead Callout"/>
    <w:pPr>
      <w:spacing w:before="80" w:after="200" w:line="264" w:lineRule="auto"/>
      <w:ind w:left="230" w:right="144"/>
    </w:pPr>
    <w:rPr>
      <w:rFonts w:ascii="Calibri" w:hAnsi="Calibri"/>
      <w:b w:val="0"/>
      <w:color w:val="0B2545"/>
      <w:sz w:val="22"/>
    </w:rPr>
  </w:style>
  <w:style w:type="paragraph" w:customStyle="1" w:styleId="SmallNote">
    <w:name w:val="Small Note"/>
    <w:pPr>
      <w:spacing w:before="80" w:after="80"/>
    </w:pPr>
    <w:rPr>
      <w:rFonts w:ascii="Calibri" w:hAnsi="Calibri"/>
      <w:color w:val="667085"/>
      <w:sz w:val="17"/>
    </w:rPr>
  </w:style>
  <w:style w:type="paragraph" w:customStyle="1" w:styleId="RiskCallout">
    <w:name w:val="Risk Callout"/>
    <w:pPr>
      <w:spacing w:after="140"/>
      <w:ind w:left="259" w:right="259"/>
    </w:pPr>
    <w:rPr>
      <w:rFonts w:ascii="Arial" w:hAnsi="Arial"/>
      <w:b/>
      <w:color w:val="9D1C2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rihuum.com" TargetMode="External"/><Relationship Id="rId13" Type="http://schemas.openxmlformats.org/officeDocument/2006/relationships/hyperlink" Target="https://www.rihuum.tech" TargetMode="External"/><Relationship Id="rId14" Type="http://schemas.openxmlformats.org/officeDocument/2006/relationships/hyperlink" Target="https://www.rihuum.net"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hyperlink" Target="https://www.cac.gov.ng/" TargetMode="External"/><Relationship Id="rId19" Type="http://schemas.openxmlformats.org/officeDocument/2006/relationships/hyperlink" Target="https://ndpc.gov.ng/download/nigeria-data-protection-act-2023" TargetMode="External"/><Relationship Id="rId20" Type="http://schemas.openxmlformats.org/officeDocument/2006/relationships/hyperlink" Target="https://ndpc.gov.ng/faqs/" TargetMode="External"/><Relationship Id="rId21" Type="http://schemas.openxmlformats.org/officeDocument/2006/relationships/hyperlink" Target="https://ndpc.gov.ng/resources/" TargetMode="External"/><Relationship Id="rId22" Type="http://schemas.openxmlformats.org/officeDocument/2006/relationships/hyperlink" Target="https://www.startup.gov.ng/" TargetMode="External"/><Relationship Id="rId23" Type="http://schemas.openxmlformats.org/officeDocument/2006/relationships/hyperlink" Target="https://www.startup.gov.ng/terms-conditions" TargetMode="External"/><Relationship Id="rId24" Type="http://schemas.openxmlformats.org/officeDocument/2006/relationships/hyperlink" Target="https://fccpc.gov.ng/about-us/our-mandate/" TargetMode="External"/><Relationship Id="rId25" Type="http://schemas.openxmlformats.org/officeDocument/2006/relationships/hyperlink" Target="https://www.nist.gov/publications/nist-cybersecurity-framework-csf-20" TargetMode="External"/><Relationship Id="rId26" Type="http://schemas.openxmlformats.org/officeDocument/2006/relationships/hyperlink" Target="https://www.nist.gov/publications/artificial-intelligence-risk-management-framework-generative-artificial-intelligence" TargetMode="External"/><Relationship Id="rId27" Type="http://schemas.openxmlformats.org/officeDocument/2006/relationships/hyperlink" Target="https://www.cisa.gov/news-events/news/applying-secure-design-thinking-events-news" TargetMode="External"/><Relationship Id="rId28" Type="http://schemas.openxmlformats.org/officeDocument/2006/relationships/hyperlink" Target="https://owasp.org/www-project-application-security-verification-standard/" TargetMode="External"/><Relationship Id="rId29" Type="http://schemas.openxmlformats.org/officeDocument/2006/relationships/hyperlink" Target="https://genai.owasp.org/resource/agentic-ai-threats-and-mitigations/" TargetMode="External"/><Relationship Id="rId30" Type="http://schemas.openxmlformats.org/officeDocument/2006/relationships/hyperlink" Target="https://genai.owasp.org/2025/12/09/owasp-top-10-for-agentic-applications-the-benchmark-for-agentic-security-in-the-age-of-autonomous-ai/" TargetMode="External"/><Relationship Id="rId31" Type="http://schemas.openxmlformats.org/officeDocument/2006/relationships/hyperlink" Target="https://owasp.org/www-project-iot-security-verification-standard/" TargetMode="External"/><Relationship Id="rId32" Type="http://schemas.openxmlformats.org/officeDocument/2006/relationships/hyperlink" Target="https://semver.org/" TargetMode="External"/><Relationship Id="rId33" Type="http://schemas.openxmlformats.org/officeDocument/2006/relationships/hyperlink" Target="https://www.iso.org/standard/27001" TargetMode="External"/><Relationship Id="rId34" Type="http://schemas.openxmlformats.org/officeDocument/2006/relationships/hyperlink" Target="https://www.iso.org/standard/27701" TargetMode="External"/><Relationship Id="rId35" Type="http://schemas.openxmlformats.org/officeDocument/2006/relationships/hyperlink" Target="https://www.iso.org/standard/75106.html" TargetMode="External"/><Relationship Id="rId36" Type="http://schemas.openxmlformats.org/officeDocument/2006/relationships/hyperlink" Target="https://www.iso.org/standard/42001" TargetMode="External"/><Relationship Id="rId37" Type="http://schemas.openxmlformats.org/officeDocument/2006/relationships/hyperlink" Target="https://www.iso.org/standard/62085.html" TargetMode="External"/><Relationship Id="rId38" Type="http://schemas.openxmlformats.org/officeDocument/2006/relationships/hyperlink" Target="https://www.gsma.com/solutions-and-impact/connectivity-for-good/mobile-economy/africa/" TargetMode="External"/><Relationship Id="rId39" Type="http://schemas.openxmlformats.org/officeDocument/2006/relationships/hyperlink" Target="https://www.ncc.gov.ng/industry-statistics" TargetMode="External"/><Relationship Id="rId40" Type="http://schemas.openxmlformats.org/officeDocument/2006/relationships/hyperlink" Target="https://www.cbn.gov.ng/PaymentsSystem/PSV2028.html" TargetMode="External"/><Relationship Id="rId41" Type="http://schemas.openxmlformats.org/officeDocument/2006/relationships/hyperlink" Target="https://3mtt.nitda.gov.ng/" TargetMode="External"/><Relationship Id="rId42" Type="http://schemas.openxmlformats.org/officeDocument/2006/relationships/hyperlink" Target="https://au.int/en/treaties/protocol-agreement-establishing-african-continental-free-trade-area-digital-trade-0" TargetMode="External"/><Relationship Id="rId43" Type="http://schemas.openxmlformats.org/officeDocument/2006/relationships/hyperlink" Target="https://ncair.nitda.gov.ng/" TargetMode="External"/><Relationship Id="rId44" Type="http://schemas.openxmlformats.org/officeDocument/2006/relationships/hyperlink" Target="https://www.ndpc.gov.ng/2025/03/28/dial-seeks-ndpc-partnership-for-data-privacy-impact-assessments/" TargetMode="External"/><Relationship Id="rId45" Type="http://schemas.openxmlformats.org/officeDocument/2006/relationships/hyperlink" Target="https://au.int/en/documents/20200518/digital-transformation-strategy-africa-2020-2030" TargetMode="External"/><Relationship Id="rId46" Type="http://schemas.openxmlformats.org/officeDocument/2006/relationships/hyperlink" Target="https://www.namecheap.com/support/knowledgebase/article.aspx/142/22/do-you-allow-streaming-videoaudio/" TargetMode="External"/><Relationship Id="rId47" Type="http://schemas.openxmlformats.org/officeDocument/2006/relationships/hyperlink" Target="https://www.namecheap.com/support/knowledgebase/article.aspx/157/22/do-you-have-any-server-resource-restrictions/" TargetMode="External"/><Relationship Id="rId48" Type="http://schemas.openxmlformats.org/officeDocument/2006/relationships/hyperlink" Target="https://www.namecheap.com/support/knowledgebase/article.aspx/10112/22/shared-hosting-plans-comparison/" TargetMode="External"/><Relationship Id="rId49" Type="http://schemas.openxmlformats.org/officeDocument/2006/relationships/hyperlink" Target="https://www.namecheap.com/support/knowledgebase/article.aspx/9837/46/how-to-connect-a-domain-to-a-server-or-hostin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rihuum.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Rihuum Intercontinental Limited Master Blueprint v3.1</dc:title>
  <dc:subject>Controlled consolidated corporate, technology and product development blueprint</dc:subject>
  <dc:creator>Rihuum Intercontinental Limited</dc:creator>
  <cp:keywords>Rihuum, RME, Rihuum OS, RIA, Nigeria, Africa, software suites, digital ecosystem, Agentic AI</cp:keywords>
  <dc:description>v2.4 corporate foundation preserved through Section 37.14 and the v2.5 controlled revision record.</dc:description>
  <cp:lastModifiedBy>Rihuum Intercontinental Limited</cp:lastModifiedBy>
  <cp:revision>3</cp:revision>
  <dcterms:created xsi:type="dcterms:W3CDTF">2013-12-23T23:15:00Z</dcterms:created>
  <dcterms:modified xsi:type="dcterms:W3CDTF">2026-07-23T10:21:28Z</dcterms:modified>
  <cp:category/>
</cp:coreProperties>
</file>